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4A2" w:rsidRDefault="00C4097C" w:rsidP="00D82545">
      <w:pPr>
        <w:jc w:val="both"/>
        <w:rPr>
          <w:rFonts w:ascii="Arial Narrow" w:eastAsia="Times New Roman" w:hAnsi="Arial Narrow" w:cs="Times New Roman"/>
          <w:b/>
          <w:color w:val="000000"/>
          <w:spacing w:val="15"/>
          <w:lang w:eastAsia="fr-FR"/>
        </w:rPr>
      </w:pPr>
      <w:r>
        <w:rPr>
          <w:rFonts w:ascii="Arial Narrow" w:eastAsia="Times New Roman" w:hAnsi="Arial Narrow" w:cs="Times New Roman"/>
          <w:b/>
          <w:color w:val="000000"/>
          <w:spacing w:val="15"/>
          <w:lang w:eastAsia="fr-FR"/>
        </w:rPr>
        <w:t>L</w:t>
      </w:r>
      <w:r w:rsidR="00C85134" w:rsidRPr="00C614A9">
        <w:rPr>
          <w:rFonts w:ascii="Arial Narrow" w:eastAsia="Times New Roman" w:hAnsi="Arial Narrow" w:cs="Times New Roman"/>
          <w:b/>
          <w:color w:val="000000"/>
          <w:spacing w:val="15"/>
          <w:lang w:eastAsia="fr-FR"/>
        </w:rPr>
        <w:t xml:space="preserve">a </w:t>
      </w:r>
      <w:r>
        <w:rPr>
          <w:rFonts w:ascii="Arial Narrow" w:eastAsia="Times New Roman" w:hAnsi="Arial Narrow" w:cs="Times New Roman"/>
          <w:b/>
          <w:color w:val="000000"/>
          <w:spacing w:val="15"/>
          <w:lang w:eastAsia="fr-FR"/>
        </w:rPr>
        <w:t>jurisprudence</w:t>
      </w:r>
      <w:r w:rsidR="00C85134" w:rsidRPr="00C614A9">
        <w:rPr>
          <w:rFonts w:ascii="Arial Narrow" w:eastAsia="Times New Roman" w:hAnsi="Arial Narrow" w:cs="Times New Roman"/>
          <w:b/>
          <w:color w:val="000000"/>
          <w:spacing w:val="15"/>
          <w:lang w:eastAsia="fr-FR"/>
        </w:rPr>
        <w:t xml:space="preserve"> du </w:t>
      </w:r>
      <w:r w:rsidR="00FB3A38" w:rsidRPr="00C614A9">
        <w:rPr>
          <w:rFonts w:ascii="Arial Narrow" w:eastAsia="Times New Roman" w:hAnsi="Arial Narrow" w:cs="Times New Roman"/>
          <w:b/>
          <w:color w:val="000000"/>
          <w:spacing w:val="15"/>
          <w:lang w:eastAsia="fr-FR"/>
        </w:rPr>
        <w:t xml:space="preserve">Conseil Constitutionnel </w:t>
      </w:r>
      <w:r w:rsidR="00C85134" w:rsidRPr="00C614A9">
        <w:rPr>
          <w:rFonts w:ascii="Arial Narrow" w:eastAsia="Times New Roman" w:hAnsi="Arial Narrow" w:cs="Times New Roman"/>
          <w:b/>
          <w:color w:val="000000"/>
          <w:spacing w:val="15"/>
          <w:lang w:eastAsia="fr-FR"/>
        </w:rPr>
        <w:t>n°1/E/2001 annule</w:t>
      </w:r>
      <w:r w:rsidR="00D70F2A" w:rsidRPr="00C614A9">
        <w:rPr>
          <w:rFonts w:ascii="Arial Narrow" w:eastAsia="Times New Roman" w:hAnsi="Arial Narrow" w:cs="Times New Roman"/>
          <w:b/>
          <w:color w:val="000000"/>
          <w:spacing w:val="15"/>
          <w:lang w:eastAsia="fr-FR"/>
        </w:rPr>
        <w:t xml:space="preserve"> la</w:t>
      </w:r>
      <w:r w:rsidR="00524816" w:rsidRPr="00C614A9">
        <w:rPr>
          <w:rFonts w:ascii="Arial Narrow" w:eastAsia="Times New Roman" w:hAnsi="Arial Narrow" w:cs="Times New Roman"/>
          <w:b/>
          <w:color w:val="000000"/>
          <w:spacing w:val="15"/>
          <w:lang w:eastAsia="fr-FR"/>
        </w:rPr>
        <w:t xml:space="preserve"> </w:t>
      </w:r>
      <w:r w:rsidR="00AA3E7D">
        <w:rPr>
          <w:rFonts w:ascii="Arial Narrow" w:eastAsia="Times New Roman" w:hAnsi="Arial Narrow" w:cs="Times New Roman"/>
          <w:b/>
          <w:color w:val="000000"/>
          <w:spacing w:val="15"/>
          <w:lang w:eastAsia="fr-FR"/>
        </w:rPr>
        <w:t>décision d’</w:t>
      </w:r>
      <w:r w:rsidR="00D82545" w:rsidRPr="00C614A9">
        <w:rPr>
          <w:rFonts w:ascii="Arial Narrow" w:eastAsia="Times New Roman" w:hAnsi="Arial Narrow" w:cs="Times New Roman"/>
          <w:b/>
          <w:color w:val="000000"/>
          <w:spacing w:val="15"/>
          <w:lang w:eastAsia="fr-FR"/>
        </w:rPr>
        <w:t>Antoine DIOM</w:t>
      </w:r>
      <w:r w:rsidR="00524816" w:rsidRPr="00C614A9">
        <w:rPr>
          <w:rFonts w:ascii="Arial Narrow" w:eastAsia="Times New Roman" w:hAnsi="Arial Narrow" w:cs="Times New Roman"/>
          <w:b/>
          <w:color w:val="000000"/>
          <w:spacing w:val="15"/>
          <w:lang w:eastAsia="fr-FR"/>
        </w:rPr>
        <w:t xml:space="preserve"> déclarant la l</w:t>
      </w:r>
      <w:r w:rsidR="00F870C9">
        <w:rPr>
          <w:rFonts w:ascii="Arial Narrow" w:eastAsia="Times New Roman" w:hAnsi="Arial Narrow" w:cs="Times New Roman"/>
          <w:b/>
          <w:color w:val="000000"/>
          <w:spacing w:val="15"/>
          <w:lang w:eastAsia="fr-FR"/>
        </w:rPr>
        <w:t>iste nationale des titulaires de Yewwi</w:t>
      </w:r>
      <w:r w:rsidR="00524816" w:rsidRPr="00C614A9">
        <w:rPr>
          <w:rFonts w:ascii="Arial Narrow" w:eastAsia="Times New Roman" w:hAnsi="Arial Narrow" w:cs="Times New Roman"/>
          <w:b/>
          <w:color w:val="000000"/>
          <w:spacing w:val="15"/>
          <w:lang w:eastAsia="fr-FR"/>
        </w:rPr>
        <w:t xml:space="preserve"> </w:t>
      </w:r>
      <w:r>
        <w:rPr>
          <w:rFonts w:ascii="Arial Narrow" w:eastAsia="Times New Roman" w:hAnsi="Arial Narrow" w:cs="Times New Roman"/>
          <w:b/>
          <w:color w:val="000000"/>
          <w:spacing w:val="15"/>
          <w:lang w:eastAsia="fr-FR"/>
        </w:rPr>
        <w:t>irrecevable</w:t>
      </w:r>
      <w:r w:rsidR="00F718CF">
        <w:rPr>
          <w:rFonts w:ascii="Arial Narrow" w:eastAsia="Times New Roman" w:hAnsi="Arial Narrow" w:cs="Times New Roman"/>
          <w:b/>
          <w:color w:val="000000"/>
          <w:spacing w:val="15"/>
          <w:lang w:eastAsia="fr-FR"/>
        </w:rPr>
        <w:t xml:space="preserve"> </w:t>
      </w:r>
      <w:r w:rsidR="008D7D6F">
        <w:rPr>
          <w:rFonts w:ascii="Arial Narrow" w:eastAsia="Times New Roman" w:hAnsi="Arial Narrow" w:cs="Times New Roman"/>
          <w:b/>
          <w:color w:val="000000"/>
          <w:spacing w:val="15"/>
          <w:lang w:eastAsia="fr-FR"/>
        </w:rPr>
        <w:t>« incomplète »</w:t>
      </w:r>
    </w:p>
    <w:p w:rsidR="00F870C9" w:rsidRPr="000153D4" w:rsidRDefault="00F870C9" w:rsidP="00D82545">
      <w:pPr>
        <w:jc w:val="both"/>
        <w:rPr>
          <w:rFonts w:ascii="Calibri" w:eastAsia="Times New Roman" w:hAnsi="Calibri" w:cs="Calibri"/>
          <w:color w:val="222222"/>
          <w:lang w:eastAsia="fr-FR"/>
        </w:rPr>
      </w:pPr>
      <w:r w:rsidRPr="000153D4">
        <w:rPr>
          <w:rFonts w:ascii="Calibri" w:eastAsia="Times New Roman" w:hAnsi="Calibri" w:cs="Calibri"/>
          <w:color w:val="222222"/>
          <w:lang w:eastAsia="fr-FR"/>
        </w:rPr>
        <w:t>Le Ministre Antoine DIOM a pris le 30 mai 2022, un arrêté déclarant que la liste des titulaires de YEWWI ASKAN WI au scrutin proportionnel n’est pas recevable, au motif principal qu’elle serait incomplète, au regard des dispositions de l</w:t>
      </w:r>
      <w:r w:rsidRPr="000153D4">
        <w:rPr>
          <w:rFonts w:eastAsia="Times New Roman" w:cstheme="minorHAnsi"/>
          <w:color w:val="222222"/>
          <w:lang w:eastAsia="fr-FR"/>
        </w:rPr>
        <w:t>’alinéa 1 de l’’article L.178 du code électoral.</w:t>
      </w:r>
    </w:p>
    <w:p w:rsidR="00C85134" w:rsidRPr="000153D4" w:rsidRDefault="00707363" w:rsidP="0036235A">
      <w:pPr>
        <w:jc w:val="both"/>
        <w:rPr>
          <w:rFonts w:ascii="Calibri" w:eastAsia="Times New Roman" w:hAnsi="Calibri" w:cs="Calibri"/>
          <w:color w:val="000000"/>
          <w:spacing w:val="15"/>
          <w:lang w:eastAsia="fr-FR"/>
        </w:rPr>
      </w:pPr>
      <w:r w:rsidRPr="000153D4">
        <w:rPr>
          <w:rFonts w:ascii="Calibri" w:eastAsia="Times New Roman" w:hAnsi="Calibri" w:cs="Calibri"/>
          <w:color w:val="222222"/>
          <w:lang w:eastAsia="fr-FR"/>
        </w:rPr>
        <w:t>Dans sa décision n°1/E/2001 du 23 mars 2001,</w:t>
      </w:r>
      <w:r w:rsidR="003453C3" w:rsidRPr="000153D4">
        <w:rPr>
          <w:rFonts w:ascii="Calibri" w:eastAsia="Times New Roman" w:hAnsi="Calibri" w:cs="Calibri"/>
          <w:color w:val="222222"/>
          <w:lang w:eastAsia="fr-FR"/>
        </w:rPr>
        <w:t xml:space="preserve"> dite jurisprudence ALE LO</w:t>
      </w:r>
      <w:r w:rsidRPr="000153D4">
        <w:rPr>
          <w:rFonts w:ascii="Calibri" w:eastAsia="Times New Roman" w:hAnsi="Calibri" w:cs="Calibri"/>
          <w:color w:val="222222"/>
          <w:lang w:eastAsia="fr-FR"/>
        </w:rPr>
        <w:t xml:space="preserve"> (cf Considérant n°5) le Conseil Constitutionnel </w:t>
      </w:r>
      <w:r w:rsidR="00C614A9" w:rsidRPr="000153D4">
        <w:rPr>
          <w:rFonts w:ascii="Calibri" w:eastAsia="Times New Roman" w:hAnsi="Calibri" w:cs="Calibri"/>
          <w:color w:val="222222"/>
          <w:lang w:eastAsia="fr-FR"/>
        </w:rPr>
        <w:t>a souligné</w:t>
      </w:r>
      <w:r w:rsidR="00B0357B" w:rsidRPr="000153D4">
        <w:rPr>
          <w:rFonts w:ascii="Calibri" w:eastAsia="Times New Roman" w:hAnsi="Calibri" w:cs="Calibri"/>
          <w:color w:val="222222"/>
          <w:lang w:eastAsia="fr-FR"/>
        </w:rPr>
        <w:t xml:space="preserve"> de manière </w:t>
      </w:r>
      <w:r w:rsidR="005017C0" w:rsidRPr="000153D4">
        <w:rPr>
          <w:rFonts w:ascii="Calibri" w:eastAsia="Times New Roman" w:hAnsi="Calibri" w:cs="Calibri"/>
          <w:color w:val="222222"/>
          <w:lang w:eastAsia="fr-FR"/>
        </w:rPr>
        <w:t xml:space="preserve">claire et </w:t>
      </w:r>
      <w:r w:rsidR="00B0357B" w:rsidRPr="000153D4">
        <w:rPr>
          <w:rFonts w:ascii="Calibri" w:eastAsia="Times New Roman" w:hAnsi="Calibri" w:cs="Calibri"/>
          <w:color w:val="222222"/>
          <w:lang w:eastAsia="fr-FR"/>
        </w:rPr>
        <w:t>nette</w:t>
      </w:r>
      <w:r w:rsidR="00755724" w:rsidRPr="000153D4">
        <w:rPr>
          <w:rFonts w:ascii="Calibri" w:eastAsia="Times New Roman" w:hAnsi="Calibri" w:cs="Calibri"/>
          <w:color w:val="222222"/>
          <w:lang w:eastAsia="fr-FR"/>
        </w:rPr>
        <w:t xml:space="preserve"> </w:t>
      </w:r>
      <w:r w:rsidR="00C614A9" w:rsidRPr="000153D4">
        <w:rPr>
          <w:rFonts w:ascii="Calibri" w:eastAsia="Times New Roman" w:hAnsi="Calibri" w:cs="Calibri"/>
          <w:color w:val="222222"/>
          <w:lang w:eastAsia="fr-FR"/>
        </w:rPr>
        <w:t>« </w:t>
      </w:r>
      <w:r w:rsidRPr="000153D4">
        <w:rPr>
          <w:rFonts w:ascii="Calibri" w:eastAsia="Times New Roman" w:hAnsi="Calibri" w:cs="Calibri"/>
          <w:b/>
          <w:color w:val="222222"/>
          <w:lang w:eastAsia="fr-FR"/>
        </w:rPr>
        <w:t xml:space="preserve">que le caractère complet ou incomplet des listes </w:t>
      </w:r>
      <w:r w:rsidR="00C614A9" w:rsidRPr="000153D4">
        <w:rPr>
          <w:rFonts w:ascii="Calibri" w:eastAsia="Times New Roman" w:hAnsi="Calibri" w:cs="Calibri"/>
          <w:b/>
          <w:color w:val="222222"/>
          <w:lang w:eastAsia="fr-FR"/>
        </w:rPr>
        <w:t>devait</w:t>
      </w:r>
      <w:r w:rsidRPr="000153D4">
        <w:rPr>
          <w:rFonts w:ascii="Calibri" w:eastAsia="Times New Roman" w:hAnsi="Calibri" w:cs="Calibri"/>
          <w:b/>
          <w:color w:val="222222"/>
          <w:lang w:eastAsia="fr-FR"/>
        </w:rPr>
        <w:t xml:space="preserve"> </w:t>
      </w:r>
      <w:r w:rsidR="00755724" w:rsidRPr="000153D4">
        <w:rPr>
          <w:rFonts w:ascii="Calibri" w:eastAsia="Times New Roman" w:hAnsi="Calibri" w:cs="Calibri"/>
          <w:b/>
          <w:color w:val="222222"/>
          <w:lang w:eastAsia="fr-FR"/>
        </w:rPr>
        <w:t xml:space="preserve">toujours </w:t>
      </w:r>
      <w:r w:rsidRPr="000153D4">
        <w:rPr>
          <w:rFonts w:ascii="Calibri" w:eastAsia="Times New Roman" w:hAnsi="Calibri" w:cs="Calibri"/>
          <w:b/>
          <w:color w:val="222222"/>
          <w:lang w:eastAsia="fr-FR"/>
        </w:rPr>
        <w:t>être apprécié au moment du dépôt</w:t>
      </w:r>
      <w:r w:rsidR="00C614A9" w:rsidRPr="000153D4">
        <w:rPr>
          <w:rFonts w:ascii="Calibri" w:eastAsia="Times New Roman" w:hAnsi="Calibri" w:cs="Calibri"/>
          <w:color w:val="222222"/>
          <w:lang w:eastAsia="fr-FR"/>
        </w:rPr>
        <w:t> »</w:t>
      </w:r>
      <w:r w:rsidRPr="000153D4">
        <w:rPr>
          <w:rFonts w:ascii="Calibri" w:eastAsia="Times New Roman" w:hAnsi="Calibri" w:cs="Calibri"/>
          <w:color w:val="222222"/>
          <w:lang w:eastAsia="fr-FR"/>
        </w:rPr>
        <w:t>.</w:t>
      </w:r>
      <w:r w:rsidR="00755724" w:rsidRPr="000153D4">
        <w:rPr>
          <w:rFonts w:ascii="Calibri" w:eastAsia="Times New Roman" w:hAnsi="Calibri" w:cs="Calibri"/>
          <w:color w:val="000000"/>
          <w:spacing w:val="15"/>
          <w:lang w:eastAsia="fr-FR"/>
        </w:rPr>
        <w:t xml:space="preserve"> </w:t>
      </w:r>
    </w:p>
    <w:p w:rsidR="00C614A9" w:rsidRPr="00C80D7E" w:rsidRDefault="00C614A9" w:rsidP="00C614A9">
      <w:pPr>
        <w:jc w:val="both"/>
        <w:rPr>
          <w:rFonts w:ascii="Calibri" w:eastAsia="Times New Roman" w:hAnsi="Calibri" w:cs="Calibri"/>
          <w:color w:val="222222"/>
          <w:sz w:val="24"/>
          <w:szCs w:val="24"/>
          <w:u w:val="single"/>
          <w:lang w:eastAsia="fr-FR"/>
        </w:rPr>
      </w:pPr>
      <w:r w:rsidRPr="00C80D7E">
        <w:rPr>
          <w:rFonts w:ascii="Calibri" w:eastAsia="Times New Roman" w:hAnsi="Calibri" w:cs="Calibri"/>
          <w:color w:val="222222"/>
          <w:sz w:val="24"/>
          <w:szCs w:val="24"/>
          <w:u w:val="single"/>
          <w:lang w:eastAsia="fr-FR"/>
        </w:rPr>
        <w:t>Considérant n°5 de la décision n°1/E/2001</w:t>
      </w:r>
    </w:p>
    <w:p w:rsidR="00C85134" w:rsidRPr="00AA3E7D" w:rsidRDefault="00C614A9" w:rsidP="0036235A">
      <w:pPr>
        <w:jc w:val="both"/>
        <w:rPr>
          <w:rFonts w:ascii="akzidenz-grotesk" w:eastAsia="Times New Roman" w:hAnsi="akzidenz-grotesk" w:cs="Times New Roman"/>
          <w:color w:val="000000"/>
          <w:spacing w:val="15"/>
          <w:sz w:val="20"/>
          <w:szCs w:val="20"/>
          <w:lang w:eastAsia="fr-FR"/>
        </w:rPr>
      </w:pPr>
      <w:r w:rsidRPr="00AA3E7D">
        <w:rPr>
          <w:rFonts w:ascii="Calibri" w:eastAsia="Times New Roman" w:hAnsi="Calibri" w:cs="Calibri"/>
          <w:color w:val="000000"/>
          <w:spacing w:val="15"/>
          <w:sz w:val="20"/>
          <w:szCs w:val="20"/>
          <w:lang w:eastAsia="fr-FR"/>
        </w:rPr>
        <w:t>« </w:t>
      </w:r>
      <w:r w:rsidR="00C85134" w:rsidRPr="00AA3E7D">
        <w:rPr>
          <w:rFonts w:ascii="akzidenz-grotesk" w:eastAsia="Times New Roman" w:hAnsi="akzidenz-grotesk" w:cs="Times New Roman"/>
          <w:color w:val="000000"/>
          <w:spacing w:val="15"/>
          <w:sz w:val="20"/>
          <w:szCs w:val="20"/>
          <w:lang w:eastAsia="fr-FR"/>
        </w:rPr>
        <w:t xml:space="preserve">Considérant que le </w:t>
      </w:r>
      <w:r w:rsidR="00C85134" w:rsidRPr="00AA3E7D">
        <w:rPr>
          <w:rFonts w:ascii="akzidenz-grotesk" w:eastAsia="Times New Roman" w:hAnsi="akzidenz-grotesk" w:cs="Times New Roman"/>
          <w:color w:val="000000"/>
          <w:spacing w:val="15"/>
          <w:sz w:val="20"/>
          <w:szCs w:val="20"/>
          <w:highlight w:val="yellow"/>
          <w:lang w:eastAsia="fr-FR"/>
        </w:rPr>
        <w:t>caractère complet</w:t>
      </w:r>
      <w:r w:rsidR="00C85134" w:rsidRPr="00AA3E7D">
        <w:rPr>
          <w:rFonts w:ascii="akzidenz-grotesk" w:eastAsia="Times New Roman" w:hAnsi="akzidenz-grotesk" w:cs="Times New Roman"/>
          <w:color w:val="000000"/>
          <w:spacing w:val="15"/>
          <w:sz w:val="20"/>
          <w:szCs w:val="20"/>
          <w:lang w:eastAsia="fr-FR"/>
        </w:rPr>
        <w:t xml:space="preserve"> ou </w:t>
      </w:r>
      <w:r w:rsidR="00C85134" w:rsidRPr="00AA3E7D">
        <w:rPr>
          <w:rFonts w:ascii="akzidenz-grotesk" w:eastAsia="Times New Roman" w:hAnsi="akzidenz-grotesk" w:cs="Times New Roman"/>
          <w:color w:val="000000"/>
          <w:spacing w:val="15"/>
          <w:sz w:val="20"/>
          <w:szCs w:val="20"/>
          <w:highlight w:val="yellow"/>
          <w:lang w:eastAsia="fr-FR"/>
        </w:rPr>
        <w:t>incomplet des listes de candidature doit être apprécié</w:t>
      </w:r>
      <w:r w:rsidR="00C85134" w:rsidRPr="00AA3E7D">
        <w:rPr>
          <w:rFonts w:ascii="akzidenz-grotesk" w:eastAsia="Times New Roman" w:hAnsi="akzidenz-grotesk" w:cs="Times New Roman"/>
          <w:color w:val="000000"/>
          <w:spacing w:val="15"/>
          <w:sz w:val="20"/>
          <w:szCs w:val="20"/>
          <w:lang w:eastAsia="fr-FR"/>
        </w:rPr>
        <w:t xml:space="preserve"> </w:t>
      </w:r>
      <w:r w:rsidR="00C85134" w:rsidRPr="00AA3E7D">
        <w:rPr>
          <w:rFonts w:ascii="akzidenz-grotesk" w:eastAsia="Times New Roman" w:hAnsi="akzidenz-grotesk" w:cs="Times New Roman"/>
          <w:color w:val="000000"/>
          <w:spacing w:val="15"/>
          <w:sz w:val="20"/>
          <w:szCs w:val="20"/>
          <w:highlight w:val="cyan"/>
          <w:lang w:eastAsia="fr-FR"/>
        </w:rPr>
        <w:t>à la date de leur dépôt,</w:t>
      </w:r>
      <w:r w:rsidR="00C85134" w:rsidRPr="00AA3E7D">
        <w:rPr>
          <w:rFonts w:ascii="akzidenz-grotesk" w:eastAsia="Times New Roman" w:hAnsi="akzidenz-grotesk" w:cs="Times New Roman"/>
          <w:color w:val="000000"/>
          <w:spacing w:val="15"/>
          <w:sz w:val="20"/>
          <w:szCs w:val="20"/>
          <w:lang w:eastAsia="fr-FR"/>
        </w:rPr>
        <w:t xml:space="preserve"> qu’il apparait par ailleurs que la liste départementale de Tivaouane </w:t>
      </w:r>
      <w:r w:rsidR="00C85134" w:rsidRPr="00AA3E7D">
        <w:rPr>
          <w:rFonts w:ascii="akzidenz-grotesk" w:eastAsia="Times New Roman" w:hAnsi="akzidenz-grotesk" w:cs="Times New Roman"/>
          <w:color w:val="000000"/>
          <w:spacing w:val="15"/>
          <w:sz w:val="20"/>
          <w:szCs w:val="20"/>
          <w:highlight w:val="cyan"/>
          <w:lang w:eastAsia="fr-FR"/>
        </w:rPr>
        <w:t>était complète à la date du 15 mars 2001</w:t>
      </w:r>
      <w:r w:rsidR="00C85134" w:rsidRPr="00AA3E7D">
        <w:rPr>
          <w:rFonts w:ascii="akzidenz-grotesk" w:eastAsia="Times New Roman" w:hAnsi="akzidenz-grotesk" w:cs="Times New Roman"/>
          <w:color w:val="000000"/>
          <w:spacing w:val="15"/>
          <w:sz w:val="20"/>
          <w:szCs w:val="20"/>
          <w:lang w:eastAsia="fr-FR"/>
        </w:rPr>
        <w:t xml:space="preserve">, </w:t>
      </w:r>
      <w:r w:rsidR="00C85134" w:rsidRPr="00B0357B">
        <w:rPr>
          <w:rFonts w:ascii="akzidenz-grotesk" w:eastAsia="Times New Roman" w:hAnsi="akzidenz-grotesk" w:cs="Times New Roman"/>
          <w:color w:val="000000"/>
          <w:spacing w:val="15"/>
          <w:sz w:val="20"/>
          <w:szCs w:val="20"/>
          <w:highlight w:val="yellow"/>
          <w:lang w:eastAsia="fr-FR"/>
        </w:rPr>
        <w:t>date limite de dépôt des candidatures</w:t>
      </w:r>
      <w:r w:rsidR="00C85134" w:rsidRPr="00AA3E7D">
        <w:rPr>
          <w:rFonts w:ascii="akzidenz-grotesk" w:eastAsia="Times New Roman" w:hAnsi="akzidenz-grotesk" w:cs="Times New Roman"/>
          <w:color w:val="000000"/>
          <w:spacing w:val="15"/>
          <w:sz w:val="20"/>
          <w:szCs w:val="20"/>
          <w:lang w:eastAsia="fr-FR"/>
        </w:rPr>
        <w:t>, qu’ainsi que c’est à tort que la décision attaquée a déclaré la liste départementale du parti socialiste irrecevable au motif que ALE LO figurait également sur la liste nationale de la coalition WADE</w:t>
      </w:r>
      <w:r w:rsidR="00C85134" w:rsidRPr="00AA3E7D">
        <w:rPr>
          <w:rFonts w:ascii="akzidenz-grotesk" w:eastAsia="Times New Roman" w:hAnsi="akzidenz-grotesk" w:cs="Times New Roman"/>
          <w:color w:val="000000"/>
          <w:spacing w:val="15"/>
          <w:sz w:val="20"/>
          <w:szCs w:val="20"/>
          <w:highlight w:val="cyan"/>
          <w:lang w:eastAsia="fr-FR"/>
        </w:rPr>
        <w:t>, comme si ce fait était de nature à emporter la caducité de sa première candidature</w:t>
      </w:r>
      <w:r w:rsidR="00D82545" w:rsidRPr="00AA3E7D">
        <w:rPr>
          <w:rFonts w:ascii="akzidenz-grotesk" w:eastAsia="Times New Roman" w:hAnsi="akzidenz-grotesk" w:cs="Times New Roman"/>
          <w:color w:val="000000"/>
          <w:spacing w:val="15"/>
          <w:sz w:val="20"/>
          <w:szCs w:val="20"/>
          <w:highlight w:val="cyan"/>
          <w:lang w:eastAsia="fr-FR"/>
        </w:rPr>
        <w:t> »</w:t>
      </w:r>
    </w:p>
    <w:p w:rsidR="005017C0" w:rsidRPr="000153D4" w:rsidRDefault="005017C0" w:rsidP="005017C0">
      <w:pPr>
        <w:jc w:val="both"/>
        <w:rPr>
          <w:rFonts w:eastAsia="Times New Roman" w:cstheme="minorHAnsi"/>
          <w:color w:val="222222"/>
          <w:lang w:eastAsia="fr-FR"/>
        </w:rPr>
      </w:pPr>
      <w:r w:rsidRPr="000153D4">
        <w:rPr>
          <w:rFonts w:eastAsia="Times New Roman" w:cstheme="minorHAnsi"/>
          <w:color w:val="222222"/>
          <w:lang w:eastAsia="fr-FR"/>
        </w:rPr>
        <w:t xml:space="preserve">Le Conseil Constitutionnel est </w:t>
      </w:r>
      <w:r w:rsidR="00AA3E7D" w:rsidRPr="000153D4">
        <w:rPr>
          <w:rFonts w:eastAsia="Times New Roman" w:cstheme="minorHAnsi"/>
          <w:color w:val="222222"/>
          <w:lang w:eastAsia="fr-FR"/>
        </w:rPr>
        <w:t>précis</w:t>
      </w:r>
      <w:r w:rsidR="00755724" w:rsidRPr="000153D4">
        <w:rPr>
          <w:rFonts w:eastAsia="Times New Roman" w:cstheme="minorHAnsi"/>
          <w:color w:val="222222"/>
          <w:lang w:eastAsia="fr-FR"/>
        </w:rPr>
        <w:t xml:space="preserve"> </w:t>
      </w:r>
      <w:r w:rsidR="00C614A9" w:rsidRPr="000153D4">
        <w:rPr>
          <w:rFonts w:eastAsia="Times New Roman" w:cstheme="minorHAnsi"/>
          <w:b/>
          <w:color w:val="222222"/>
          <w:lang w:eastAsia="fr-FR"/>
        </w:rPr>
        <w:t>« </w:t>
      </w:r>
      <w:r w:rsidR="00AA3E7D" w:rsidRPr="000153D4">
        <w:rPr>
          <w:rFonts w:eastAsia="Times New Roman" w:cstheme="minorHAnsi"/>
          <w:b/>
          <w:color w:val="222222"/>
          <w:lang w:eastAsia="fr-FR"/>
        </w:rPr>
        <w:t xml:space="preserve">la temporalité, le moment pour déterminer si </w:t>
      </w:r>
      <w:r w:rsidR="00C614A9" w:rsidRPr="000153D4">
        <w:rPr>
          <w:rFonts w:eastAsia="Times New Roman" w:cstheme="minorHAnsi"/>
          <w:b/>
          <w:color w:val="222222"/>
          <w:lang w:eastAsia="fr-FR"/>
        </w:rPr>
        <w:t>une liste de candidatur</w:t>
      </w:r>
      <w:r w:rsidR="00AA3E7D" w:rsidRPr="000153D4">
        <w:rPr>
          <w:rFonts w:eastAsia="Times New Roman" w:cstheme="minorHAnsi"/>
          <w:b/>
          <w:color w:val="222222"/>
          <w:lang w:eastAsia="fr-FR"/>
        </w:rPr>
        <w:t xml:space="preserve">e est </w:t>
      </w:r>
      <w:r w:rsidR="00C614A9" w:rsidRPr="000153D4">
        <w:rPr>
          <w:rFonts w:eastAsia="Times New Roman" w:cstheme="minorHAnsi"/>
          <w:b/>
          <w:color w:val="222222"/>
          <w:lang w:eastAsia="fr-FR"/>
        </w:rPr>
        <w:t>complète</w:t>
      </w:r>
      <w:r w:rsidR="00AA3E7D" w:rsidRPr="000153D4">
        <w:rPr>
          <w:rFonts w:eastAsia="Times New Roman" w:cstheme="minorHAnsi"/>
          <w:b/>
          <w:color w:val="222222"/>
          <w:lang w:eastAsia="fr-FR"/>
        </w:rPr>
        <w:t>, ou i</w:t>
      </w:r>
      <w:r w:rsidR="00C614A9" w:rsidRPr="000153D4">
        <w:rPr>
          <w:rFonts w:eastAsia="Times New Roman" w:cstheme="minorHAnsi"/>
          <w:b/>
          <w:color w:val="222222"/>
          <w:lang w:eastAsia="fr-FR"/>
        </w:rPr>
        <w:t>n</w:t>
      </w:r>
      <w:r w:rsidR="00755724" w:rsidRPr="000153D4">
        <w:rPr>
          <w:rFonts w:eastAsia="Times New Roman" w:cstheme="minorHAnsi"/>
          <w:b/>
          <w:color w:val="222222"/>
          <w:lang w:eastAsia="fr-FR"/>
        </w:rPr>
        <w:t>complète</w:t>
      </w:r>
      <w:r w:rsidR="00AA3E7D" w:rsidRPr="000153D4">
        <w:rPr>
          <w:rFonts w:eastAsia="Times New Roman" w:cstheme="minorHAnsi"/>
          <w:b/>
          <w:color w:val="222222"/>
          <w:lang w:eastAsia="fr-FR"/>
        </w:rPr>
        <w:t xml:space="preserve">, c’est la date de </w:t>
      </w:r>
      <w:r w:rsidR="00755724" w:rsidRPr="000153D4">
        <w:rPr>
          <w:rFonts w:eastAsia="Times New Roman" w:cstheme="minorHAnsi"/>
          <w:b/>
          <w:color w:val="222222"/>
          <w:lang w:eastAsia="fr-FR"/>
        </w:rPr>
        <w:t>dépôt</w:t>
      </w:r>
      <w:r w:rsidR="00C614A9" w:rsidRPr="000153D4">
        <w:rPr>
          <w:rFonts w:eastAsia="Times New Roman" w:cstheme="minorHAnsi"/>
          <w:color w:val="222222"/>
          <w:lang w:eastAsia="fr-FR"/>
        </w:rPr>
        <w:t> »</w:t>
      </w:r>
      <w:r w:rsidR="00755724" w:rsidRPr="000153D4">
        <w:rPr>
          <w:rFonts w:eastAsia="Times New Roman" w:cstheme="minorHAnsi"/>
          <w:color w:val="222222"/>
          <w:lang w:eastAsia="fr-FR"/>
        </w:rPr>
        <w:t>.</w:t>
      </w:r>
      <w:r w:rsidR="00AA3E7D" w:rsidRPr="000153D4">
        <w:rPr>
          <w:rFonts w:eastAsia="Times New Roman" w:cstheme="minorHAnsi"/>
          <w:color w:val="222222"/>
          <w:lang w:eastAsia="fr-FR"/>
        </w:rPr>
        <w:t xml:space="preserve"> </w:t>
      </w:r>
      <w:r w:rsidRPr="000153D4">
        <w:rPr>
          <w:rFonts w:eastAsia="Times New Roman" w:cstheme="minorHAnsi"/>
          <w:color w:val="222222"/>
          <w:lang w:eastAsia="fr-FR"/>
        </w:rPr>
        <w:t>La double présence d’un candidat sur 2 listes, n’</w:t>
      </w:r>
      <w:r w:rsidR="00C80D7E" w:rsidRPr="000153D4">
        <w:rPr>
          <w:rFonts w:eastAsia="Times New Roman" w:cstheme="minorHAnsi"/>
          <w:color w:val="222222"/>
          <w:lang w:eastAsia="fr-FR"/>
        </w:rPr>
        <w:t>a aucune incidence sur</w:t>
      </w:r>
      <w:r w:rsidRPr="000153D4">
        <w:rPr>
          <w:rFonts w:eastAsia="Times New Roman" w:cstheme="minorHAnsi"/>
          <w:color w:val="222222"/>
          <w:lang w:eastAsia="fr-FR"/>
        </w:rPr>
        <w:t xml:space="preserve"> la régularité desdites listes.</w:t>
      </w:r>
      <w:r w:rsidR="00C80D7E" w:rsidRPr="000153D4">
        <w:rPr>
          <w:rFonts w:eastAsia="Times New Roman" w:cstheme="minorHAnsi"/>
          <w:color w:val="222222"/>
          <w:lang w:eastAsia="fr-FR"/>
        </w:rPr>
        <w:t xml:space="preserve"> Et comme pour le marteler, le Conseil Constitutionnel a précisé que c’est à tort que la décision du Ministre a déclaré la liste départementale du part socialiste irrecevable, du fait de la double présence d’ALE LO sur 2 listes, balayant d’un revers de main, l’appréciation du ministre en ces </w:t>
      </w:r>
      <w:r w:rsidR="00D77EA3" w:rsidRPr="000153D4">
        <w:rPr>
          <w:rFonts w:eastAsia="Times New Roman" w:cstheme="minorHAnsi"/>
          <w:color w:val="222222"/>
          <w:lang w:eastAsia="fr-FR"/>
        </w:rPr>
        <w:t xml:space="preserve">termes </w:t>
      </w:r>
      <w:r w:rsidR="00D77EA3" w:rsidRPr="000153D4">
        <w:rPr>
          <w:rFonts w:eastAsia="Times New Roman" w:cstheme="minorHAnsi"/>
          <w:color w:val="000000"/>
          <w:spacing w:val="15"/>
          <w:highlight w:val="cyan"/>
          <w:lang w:eastAsia="fr-FR"/>
        </w:rPr>
        <w:t>«</w:t>
      </w:r>
      <w:r w:rsidR="00C80D7E" w:rsidRPr="000153D4">
        <w:rPr>
          <w:rFonts w:eastAsia="Times New Roman" w:cstheme="minorHAnsi"/>
          <w:color w:val="000000"/>
          <w:spacing w:val="15"/>
          <w:highlight w:val="cyan"/>
          <w:lang w:eastAsia="fr-FR"/>
        </w:rPr>
        <w:t> Comme si ce fait</w:t>
      </w:r>
      <w:r w:rsidR="00D77EA3" w:rsidRPr="000153D4">
        <w:rPr>
          <w:rFonts w:eastAsia="Times New Roman" w:cstheme="minorHAnsi"/>
          <w:color w:val="000000"/>
          <w:spacing w:val="15"/>
          <w:highlight w:val="cyan"/>
          <w:lang w:eastAsia="fr-FR"/>
        </w:rPr>
        <w:t xml:space="preserve"> (double présence d’ALE LO sur les listes du PS et du PDS) </w:t>
      </w:r>
      <w:r w:rsidR="00C80D7E" w:rsidRPr="000153D4">
        <w:rPr>
          <w:rFonts w:eastAsia="Times New Roman" w:cstheme="minorHAnsi"/>
          <w:color w:val="000000"/>
          <w:spacing w:val="15"/>
          <w:highlight w:val="cyan"/>
          <w:lang w:eastAsia="fr-FR"/>
        </w:rPr>
        <w:t>était de nature à emporter la caducité de sa première candidature »</w:t>
      </w:r>
      <w:r w:rsidR="00C80D7E" w:rsidRPr="000153D4">
        <w:rPr>
          <w:rFonts w:eastAsia="Times New Roman" w:cstheme="minorHAnsi"/>
          <w:color w:val="000000"/>
          <w:spacing w:val="15"/>
          <w:lang w:eastAsia="fr-FR"/>
        </w:rPr>
        <w:t>.</w:t>
      </w:r>
    </w:p>
    <w:p w:rsidR="00C26C15" w:rsidRPr="000153D4" w:rsidRDefault="005017C0" w:rsidP="00B06969">
      <w:pPr>
        <w:jc w:val="both"/>
        <w:rPr>
          <w:rFonts w:eastAsia="Times New Roman" w:cstheme="minorHAnsi"/>
          <w:color w:val="222222"/>
          <w:lang w:eastAsia="fr-FR"/>
        </w:rPr>
      </w:pPr>
      <w:r w:rsidRPr="000153D4">
        <w:rPr>
          <w:rFonts w:eastAsia="Times New Roman" w:cstheme="minorHAnsi"/>
          <w:color w:val="222222"/>
          <w:lang w:eastAsia="fr-FR"/>
        </w:rPr>
        <w:t xml:space="preserve">Une abondante jurisprudence conforte </w:t>
      </w:r>
      <w:r w:rsidR="00C80D7E" w:rsidRPr="000153D4">
        <w:rPr>
          <w:rFonts w:eastAsia="Times New Roman" w:cstheme="minorHAnsi"/>
          <w:color w:val="222222"/>
          <w:lang w:eastAsia="fr-FR"/>
        </w:rPr>
        <w:t>la date de dépôt comme seule et unique temporalité permettant d’apprécier si une liste de candidature est complète ou incomplète</w:t>
      </w:r>
      <w:r w:rsidR="00B06969" w:rsidRPr="000153D4">
        <w:rPr>
          <w:rFonts w:eastAsia="Times New Roman" w:cstheme="minorHAnsi"/>
          <w:color w:val="222222"/>
          <w:lang w:eastAsia="fr-FR"/>
        </w:rPr>
        <w:t xml:space="preserve">. </w:t>
      </w:r>
    </w:p>
    <w:p w:rsidR="00B06969" w:rsidRPr="000153D4" w:rsidRDefault="00B06969" w:rsidP="00E3572E">
      <w:pPr>
        <w:jc w:val="both"/>
        <w:rPr>
          <w:rFonts w:eastAsia="Times New Roman" w:cstheme="minorHAnsi"/>
          <w:color w:val="222222"/>
          <w:lang w:eastAsia="fr-FR"/>
        </w:rPr>
      </w:pPr>
      <w:r w:rsidRPr="000153D4">
        <w:rPr>
          <w:rFonts w:eastAsia="Times New Roman" w:cstheme="minorHAnsi"/>
          <w:color w:val="222222"/>
          <w:lang w:eastAsia="fr-FR"/>
        </w:rPr>
        <w:t>Dans sa Décision n° 2019 – E du 20 janvier 2019 (jurisprudence GAKOU) – Considérant n°14, le Conseil Constitutionnel a pr</w:t>
      </w:r>
      <w:r w:rsidR="00C26C15" w:rsidRPr="000153D4">
        <w:rPr>
          <w:rFonts w:eastAsia="Times New Roman" w:cstheme="minorHAnsi"/>
          <w:color w:val="222222"/>
          <w:lang w:eastAsia="fr-FR"/>
        </w:rPr>
        <w:t xml:space="preserve">écisé que GAKOU a dépassé le nombre de parrainages autorisés par la loi </w:t>
      </w:r>
      <w:r w:rsidR="00C26C15" w:rsidRPr="000153D4">
        <w:rPr>
          <w:rFonts w:eastAsia="Times New Roman" w:cstheme="minorHAnsi"/>
          <w:color w:val="222222"/>
          <w:highlight w:val="cyan"/>
          <w:lang w:eastAsia="fr-FR"/>
        </w:rPr>
        <w:t>lors du dépôt</w:t>
      </w:r>
      <w:r w:rsidR="00C26C15" w:rsidRPr="000153D4">
        <w:rPr>
          <w:rFonts w:eastAsia="Times New Roman" w:cstheme="minorHAnsi"/>
          <w:color w:val="222222"/>
          <w:lang w:eastAsia="fr-FR"/>
        </w:rPr>
        <w:t>, soit 62 820 électeurs. A</w:t>
      </w:r>
      <w:r w:rsidRPr="000153D4">
        <w:rPr>
          <w:rFonts w:eastAsia="Times New Roman" w:cstheme="minorHAnsi"/>
          <w:color w:val="222222"/>
          <w:lang w:eastAsia="fr-FR"/>
        </w:rPr>
        <w:t>u</w:t>
      </w:r>
      <w:r w:rsidR="00C26C15" w:rsidRPr="000153D4">
        <w:rPr>
          <w:rFonts w:eastAsia="Times New Roman" w:cstheme="minorHAnsi"/>
          <w:color w:val="222222"/>
          <w:lang w:eastAsia="fr-FR"/>
        </w:rPr>
        <w:t xml:space="preserve"> niveau de la temporalité, la </w:t>
      </w:r>
      <w:r w:rsidR="00E3572E" w:rsidRPr="000153D4">
        <w:rPr>
          <w:rFonts w:eastAsia="Times New Roman" w:cstheme="minorHAnsi"/>
          <w:color w:val="222222"/>
          <w:lang w:eastAsia="fr-FR"/>
        </w:rPr>
        <w:t xml:space="preserve">seule </w:t>
      </w:r>
      <w:r w:rsidR="00C26C15" w:rsidRPr="000153D4">
        <w:rPr>
          <w:rFonts w:eastAsia="Times New Roman" w:cstheme="minorHAnsi"/>
          <w:color w:val="222222"/>
          <w:lang w:eastAsia="fr-FR"/>
        </w:rPr>
        <w:t>date de référence</w:t>
      </w:r>
      <w:r w:rsidR="00E3572E" w:rsidRPr="000153D4">
        <w:rPr>
          <w:rFonts w:eastAsia="Times New Roman" w:cstheme="minorHAnsi"/>
          <w:color w:val="222222"/>
          <w:lang w:eastAsia="fr-FR"/>
        </w:rPr>
        <w:t xml:space="preserve"> qui fait foi</w:t>
      </w:r>
      <w:r w:rsidR="00C26C15" w:rsidRPr="000153D4">
        <w:rPr>
          <w:rFonts w:eastAsia="Times New Roman" w:cstheme="minorHAnsi"/>
          <w:color w:val="222222"/>
          <w:lang w:eastAsia="fr-FR"/>
        </w:rPr>
        <w:t>, c’est la date de dépôt.</w:t>
      </w:r>
      <w:r w:rsidR="00E3572E" w:rsidRPr="000153D4">
        <w:rPr>
          <w:rFonts w:eastAsia="Times New Roman" w:cstheme="minorHAnsi"/>
          <w:color w:val="222222"/>
          <w:lang w:eastAsia="fr-FR"/>
        </w:rPr>
        <w:t xml:space="preserve"> Autrement dit, une liste de candidature complète au moment du dépôt ne plus être déclarée irrecevable à posteriori, au motif que la liste serait incomplète</w:t>
      </w:r>
      <w:r w:rsidR="00240BDA">
        <w:rPr>
          <w:rFonts w:eastAsia="Times New Roman" w:cstheme="minorHAnsi"/>
          <w:color w:val="222222"/>
          <w:lang w:eastAsia="fr-FR"/>
        </w:rPr>
        <w:t xml:space="preserve"> (l’irrecevabilité doit porter sur d’autres motifs)</w:t>
      </w:r>
      <w:r w:rsidR="00E3572E" w:rsidRPr="000153D4">
        <w:rPr>
          <w:rFonts w:eastAsia="Times New Roman" w:cstheme="minorHAnsi"/>
          <w:color w:val="222222"/>
          <w:lang w:eastAsia="fr-FR"/>
        </w:rPr>
        <w:t>. En conséquence, la décision du ministre visant l’alinéa 1 de l’’article L.178 du code électoral pour déclarer la liste de YEWWI irrecevable par</w:t>
      </w:r>
      <w:r w:rsidR="007A2568">
        <w:rPr>
          <w:rFonts w:eastAsia="Times New Roman" w:cstheme="minorHAnsi"/>
          <w:color w:val="222222"/>
          <w:lang w:eastAsia="fr-FR"/>
        </w:rPr>
        <w:t>ce</w:t>
      </w:r>
      <w:r w:rsidR="00E3572E" w:rsidRPr="000153D4">
        <w:rPr>
          <w:rFonts w:eastAsia="Times New Roman" w:cstheme="minorHAnsi"/>
          <w:color w:val="222222"/>
          <w:lang w:eastAsia="fr-FR"/>
        </w:rPr>
        <w:t xml:space="preserve"> </w:t>
      </w:r>
      <w:r w:rsidR="00E3572E" w:rsidRPr="007A2568">
        <w:rPr>
          <w:rFonts w:eastAsia="Times New Roman" w:cstheme="minorHAnsi"/>
          <w:color w:val="222222"/>
          <w:lang w:eastAsia="fr-FR"/>
        </w:rPr>
        <w:t xml:space="preserve">qu’incomplète est frappée de nullité absolue et ne saurait </w:t>
      </w:r>
      <w:r w:rsidR="003B54C5" w:rsidRPr="007A2568">
        <w:rPr>
          <w:rFonts w:eastAsia="Times New Roman" w:cstheme="minorHAnsi"/>
          <w:color w:val="222222"/>
          <w:lang w:eastAsia="fr-FR"/>
        </w:rPr>
        <w:t xml:space="preserve">en aucun </w:t>
      </w:r>
      <w:r w:rsidR="003820C4" w:rsidRPr="007A2568">
        <w:rPr>
          <w:rFonts w:eastAsia="Times New Roman" w:cstheme="minorHAnsi"/>
          <w:color w:val="222222"/>
          <w:lang w:eastAsia="fr-FR"/>
        </w:rPr>
        <w:t>prospérer</w:t>
      </w:r>
      <w:r w:rsidR="00E3572E" w:rsidRPr="007A2568">
        <w:rPr>
          <w:rFonts w:eastAsia="Times New Roman" w:cstheme="minorHAnsi"/>
          <w:color w:val="222222"/>
          <w:lang w:eastAsia="fr-FR"/>
        </w:rPr>
        <w:t xml:space="preserve"> devant le Conseil Constitutionnel.</w:t>
      </w:r>
    </w:p>
    <w:p w:rsidR="000C5781" w:rsidRPr="000153D4" w:rsidRDefault="00C91028" w:rsidP="000C5781">
      <w:pPr>
        <w:jc w:val="both"/>
        <w:rPr>
          <w:rFonts w:eastAsia="Times New Roman" w:cstheme="minorHAnsi"/>
          <w:color w:val="222222"/>
          <w:lang w:eastAsia="fr-FR"/>
        </w:rPr>
      </w:pPr>
      <w:r w:rsidRPr="000153D4">
        <w:rPr>
          <w:rFonts w:eastAsia="Times New Roman" w:cstheme="minorHAnsi"/>
          <w:color w:val="222222"/>
          <w:lang w:eastAsia="fr-FR"/>
        </w:rPr>
        <w:t xml:space="preserve">En second lieu, la décision du </w:t>
      </w:r>
      <w:r w:rsidR="00D568B2" w:rsidRPr="000153D4">
        <w:rPr>
          <w:rFonts w:eastAsia="Times New Roman" w:cstheme="minorHAnsi"/>
          <w:color w:val="222222"/>
          <w:lang w:eastAsia="fr-FR"/>
        </w:rPr>
        <w:t>ministre</w:t>
      </w:r>
      <w:r w:rsidRPr="000153D4">
        <w:rPr>
          <w:rFonts w:eastAsia="Times New Roman" w:cstheme="minorHAnsi"/>
          <w:color w:val="222222"/>
          <w:lang w:eastAsia="fr-FR"/>
        </w:rPr>
        <w:t xml:space="preserve"> vise l’alinéa 2 de l’article 179 du code électoral</w:t>
      </w:r>
      <w:r w:rsidR="008C0A6A" w:rsidRPr="000153D4">
        <w:rPr>
          <w:rFonts w:eastAsia="Times New Roman" w:cstheme="minorHAnsi"/>
          <w:color w:val="222222"/>
          <w:lang w:eastAsia="fr-FR"/>
        </w:rPr>
        <w:t> :</w:t>
      </w:r>
    </w:p>
    <w:p w:rsidR="003B54C5" w:rsidRPr="003820C4" w:rsidRDefault="003B54C5" w:rsidP="003B54C5">
      <w:pPr>
        <w:jc w:val="both"/>
        <w:rPr>
          <w:rFonts w:eastAsia="Times New Roman" w:cstheme="minorHAnsi"/>
          <w:color w:val="222222"/>
          <w:sz w:val="24"/>
          <w:szCs w:val="24"/>
          <w:u w:val="single"/>
          <w:lang w:eastAsia="fr-FR"/>
        </w:rPr>
      </w:pPr>
      <w:r w:rsidRPr="003820C4">
        <w:rPr>
          <w:rFonts w:eastAsia="Times New Roman" w:cstheme="minorHAnsi"/>
          <w:color w:val="222222"/>
          <w:sz w:val="24"/>
          <w:szCs w:val="24"/>
          <w:u w:val="single"/>
          <w:lang w:eastAsia="fr-FR"/>
        </w:rPr>
        <w:t>Alinéa 2 de l’article 179 du code électoral</w:t>
      </w:r>
    </w:p>
    <w:p w:rsidR="005017C0" w:rsidRDefault="003B54C5" w:rsidP="003B54C5">
      <w:pPr>
        <w:jc w:val="both"/>
        <w:rPr>
          <w:rFonts w:ascii="akzidenz-grotesk" w:eastAsia="Times New Roman" w:hAnsi="akzidenz-grotesk" w:cs="Times New Roman"/>
          <w:color w:val="000000"/>
          <w:spacing w:val="15"/>
          <w:sz w:val="20"/>
          <w:szCs w:val="20"/>
          <w:lang w:eastAsia="fr-FR"/>
        </w:rPr>
      </w:pPr>
      <w:r>
        <w:rPr>
          <w:rFonts w:ascii="akzidenz-grotesk" w:eastAsia="Times New Roman" w:hAnsi="akzidenz-grotesk" w:cs="Times New Roman"/>
          <w:color w:val="000000"/>
          <w:spacing w:val="15"/>
          <w:sz w:val="20"/>
          <w:szCs w:val="20"/>
          <w:lang w:eastAsia="fr-FR"/>
        </w:rPr>
        <w:t>« </w:t>
      </w:r>
      <w:r w:rsidRPr="003B54C5">
        <w:rPr>
          <w:rFonts w:ascii="akzidenz-grotesk" w:eastAsia="Times New Roman" w:hAnsi="akzidenz-grotesk" w:cs="Times New Roman"/>
          <w:color w:val="000000"/>
          <w:spacing w:val="15"/>
          <w:sz w:val="20"/>
          <w:szCs w:val="20"/>
          <w:lang w:eastAsia="fr-FR"/>
        </w:rPr>
        <w:t xml:space="preserve">Le remplacement de candidats inéligibles, sans préjudice de l’ordre d’investiture, et la substitution de pièces périmées ou comportant des erreurs matérielles sont, le cas échéant immédiatement notifiés au mandataire de la liste concernée. Celui-ci dispose de trois jours, à compter de la date de notification, pour y remédier, </w:t>
      </w:r>
      <w:r w:rsidRPr="003B54C5">
        <w:rPr>
          <w:rFonts w:ascii="akzidenz-grotesk" w:eastAsia="Times New Roman" w:hAnsi="akzidenz-grotesk" w:cs="Times New Roman"/>
          <w:color w:val="000000"/>
          <w:spacing w:val="15"/>
          <w:sz w:val="20"/>
          <w:szCs w:val="20"/>
          <w:highlight w:val="yellow"/>
          <w:lang w:eastAsia="fr-FR"/>
        </w:rPr>
        <w:t>sous peine de rejet de la candidature concernée ».</w:t>
      </w:r>
    </w:p>
    <w:p w:rsidR="000153D4" w:rsidRDefault="003B54C5" w:rsidP="003B54C5">
      <w:pPr>
        <w:jc w:val="both"/>
        <w:rPr>
          <w:rFonts w:eastAsia="Times New Roman" w:cstheme="minorHAnsi"/>
          <w:color w:val="222222"/>
          <w:lang w:eastAsia="fr-FR"/>
        </w:rPr>
      </w:pPr>
      <w:r w:rsidRPr="000153D4">
        <w:rPr>
          <w:rFonts w:eastAsia="Times New Roman" w:cstheme="minorHAnsi"/>
          <w:color w:val="222222"/>
          <w:lang w:eastAsia="fr-FR"/>
        </w:rPr>
        <w:t>Cet article concerne spécifiquement le cas de candidats inéligibles.</w:t>
      </w:r>
      <w:r w:rsidR="000153D4">
        <w:rPr>
          <w:rFonts w:eastAsia="Times New Roman" w:cstheme="minorHAnsi"/>
          <w:color w:val="222222"/>
          <w:lang w:eastAsia="fr-FR"/>
        </w:rPr>
        <w:t xml:space="preserve"> </w:t>
      </w:r>
      <w:r w:rsidR="000153D4" w:rsidRPr="000153D4">
        <w:rPr>
          <w:rFonts w:eastAsia="Times New Roman" w:cstheme="minorHAnsi"/>
          <w:color w:val="222222"/>
          <w:lang w:eastAsia="fr-FR"/>
        </w:rPr>
        <w:t xml:space="preserve">Le dernier paragraphe est extrêmement clair et fait uniquement référence </w:t>
      </w:r>
      <w:r w:rsidR="000153D4" w:rsidRPr="000153D4">
        <w:rPr>
          <w:rFonts w:eastAsia="Times New Roman" w:cstheme="minorHAnsi"/>
          <w:b/>
          <w:color w:val="222222"/>
          <w:lang w:eastAsia="fr-FR"/>
        </w:rPr>
        <w:t>au rejet de la candidature</w:t>
      </w:r>
      <w:r w:rsidR="000153D4" w:rsidRPr="000153D4">
        <w:rPr>
          <w:rFonts w:eastAsia="Times New Roman" w:cstheme="minorHAnsi"/>
          <w:color w:val="222222"/>
          <w:lang w:eastAsia="fr-FR"/>
        </w:rPr>
        <w:t xml:space="preserve"> </w:t>
      </w:r>
      <w:r w:rsidR="000153D4" w:rsidRPr="000153D4">
        <w:rPr>
          <w:rFonts w:eastAsia="Times New Roman" w:cstheme="minorHAnsi"/>
          <w:color w:val="222222"/>
          <w:highlight w:val="yellow"/>
          <w:lang w:eastAsia="fr-FR"/>
        </w:rPr>
        <w:t>concernée</w:t>
      </w:r>
      <w:r w:rsidR="000153D4" w:rsidRPr="000153D4">
        <w:rPr>
          <w:rFonts w:eastAsia="Times New Roman" w:cstheme="minorHAnsi"/>
          <w:color w:val="222222"/>
          <w:lang w:eastAsia="fr-FR"/>
        </w:rPr>
        <w:t>, en cas de non remplacement du candidat inéligible, dans les délais prescrits.</w:t>
      </w:r>
    </w:p>
    <w:p w:rsidR="00F45B24" w:rsidRPr="000153D4" w:rsidRDefault="00F45B24" w:rsidP="003B54C5">
      <w:pPr>
        <w:jc w:val="both"/>
        <w:rPr>
          <w:rFonts w:eastAsia="Times New Roman" w:cstheme="minorHAnsi"/>
          <w:color w:val="222222"/>
          <w:lang w:eastAsia="fr-FR"/>
        </w:rPr>
      </w:pPr>
      <w:r w:rsidRPr="000153D4">
        <w:rPr>
          <w:rFonts w:eastAsia="Times New Roman" w:cstheme="minorHAnsi"/>
          <w:color w:val="222222"/>
          <w:lang w:eastAsia="fr-FR"/>
        </w:rPr>
        <w:lastRenderedPageBreak/>
        <w:t>A aucun moment, il n’</w:t>
      </w:r>
      <w:r w:rsidR="0061683E" w:rsidRPr="000153D4">
        <w:rPr>
          <w:rFonts w:eastAsia="Times New Roman" w:cstheme="minorHAnsi"/>
          <w:color w:val="222222"/>
          <w:lang w:eastAsia="fr-FR"/>
        </w:rPr>
        <w:t>est question de rejet d’une quelconque</w:t>
      </w:r>
      <w:r w:rsidRPr="000153D4">
        <w:rPr>
          <w:rFonts w:eastAsia="Times New Roman" w:cstheme="minorHAnsi"/>
          <w:color w:val="222222"/>
          <w:lang w:eastAsia="fr-FR"/>
        </w:rPr>
        <w:t xml:space="preserve"> liste. C’est d’autant plus vrai que l’Article LO.182 est très explicite en la </w:t>
      </w:r>
      <w:r w:rsidR="00645D6B" w:rsidRPr="000153D4">
        <w:rPr>
          <w:rFonts w:eastAsia="Times New Roman" w:cstheme="minorHAnsi"/>
          <w:color w:val="222222"/>
          <w:lang w:eastAsia="fr-FR"/>
        </w:rPr>
        <w:t xml:space="preserve">matière. </w:t>
      </w:r>
    </w:p>
    <w:p w:rsidR="0061683E" w:rsidRDefault="00F45B24" w:rsidP="008D7D6F">
      <w:pPr>
        <w:jc w:val="both"/>
        <w:rPr>
          <w:rFonts w:ascii="akzidenz-grotesk" w:eastAsia="Times New Roman" w:hAnsi="akzidenz-grotesk" w:cs="Times New Roman"/>
          <w:color w:val="000000"/>
          <w:spacing w:val="15"/>
          <w:sz w:val="20"/>
          <w:szCs w:val="20"/>
          <w:lang w:eastAsia="fr-FR"/>
        </w:rPr>
      </w:pPr>
      <w:r>
        <w:rPr>
          <w:rFonts w:ascii="akzidenz-grotesk" w:eastAsia="Times New Roman" w:hAnsi="akzidenz-grotesk" w:cs="Times New Roman"/>
          <w:color w:val="000000"/>
          <w:spacing w:val="15"/>
          <w:sz w:val="20"/>
          <w:szCs w:val="20"/>
          <w:lang w:eastAsia="fr-FR"/>
        </w:rPr>
        <w:t>« </w:t>
      </w:r>
      <w:r w:rsidRPr="00F45B24">
        <w:rPr>
          <w:rFonts w:ascii="akzidenz-grotesk" w:eastAsia="Times New Roman" w:hAnsi="akzidenz-grotesk" w:cs="Times New Roman"/>
          <w:color w:val="000000"/>
          <w:spacing w:val="15"/>
          <w:sz w:val="20"/>
          <w:szCs w:val="20"/>
          <w:lang w:eastAsia="fr-FR"/>
        </w:rPr>
        <w:t>Après le délai de cinq jours prévus à l’alinéa premier de l’article L179 et ce, jusqu’à la date de prise de l’arrêté publiant les déclarations reçues, sil appara</w:t>
      </w:r>
      <w:r w:rsidR="00480C4D">
        <w:rPr>
          <w:rFonts w:ascii="akzidenz-grotesk" w:eastAsia="Times New Roman" w:hAnsi="akzidenz-grotesk" w:cs="Times New Roman"/>
          <w:color w:val="000000"/>
          <w:spacing w:val="15"/>
          <w:sz w:val="20"/>
          <w:szCs w:val="20"/>
          <w:lang w:eastAsia="fr-FR"/>
        </w:rPr>
        <w:t>I</w:t>
      </w:r>
      <w:r w:rsidRPr="00F45B24">
        <w:rPr>
          <w:rFonts w:ascii="akzidenz-grotesk" w:eastAsia="Times New Roman" w:hAnsi="akzidenz-grotesk" w:cs="Times New Roman"/>
          <w:color w:val="000000"/>
          <w:spacing w:val="15"/>
          <w:sz w:val="20"/>
          <w:szCs w:val="20"/>
          <w:lang w:eastAsia="fr-FR"/>
        </w:rPr>
        <w:t xml:space="preserve">t qu’une déclaration de candidature a été déposée en faveur d’une personne inéligible, le Ministre chargé des élections doit saisir le Conseil constitutionnel qui statue dans les trois jours de la saisine </w:t>
      </w:r>
      <w:r w:rsidRPr="00F45B24">
        <w:rPr>
          <w:rFonts w:ascii="akzidenz-grotesk" w:eastAsia="Times New Roman" w:hAnsi="akzidenz-grotesk" w:cs="Times New Roman"/>
          <w:color w:val="000000"/>
          <w:spacing w:val="15"/>
          <w:sz w:val="20"/>
          <w:szCs w:val="20"/>
          <w:highlight w:val="yellow"/>
          <w:lang w:eastAsia="fr-FR"/>
        </w:rPr>
        <w:t>sur la recevabilité de ladite candidature ».</w:t>
      </w:r>
      <w:r>
        <w:rPr>
          <w:rFonts w:ascii="akzidenz-grotesk" w:eastAsia="Times New Roman" w:hAnsi="akzidenz-grotesk" w:cs="Times New Roman"/>
          <w:color w:val="000000"/>
          <w:spacing w:val="15"/>
          <w:sz w:val="20"/>
          <w:szCs w:val="20"/>
          <w:lang w:eastAsia="fr-FR"/>
        </w:rPr>
        <w:t xml:space="preserve"> </w:t>
      </w:r>
    </w:p>
    <w:p w:rsidR="00470D31" w:rsidRPr="000153D4" w:rsidRDefault="0012694F" w:rsidP="008D7D6F">
      <w:pPr>
        <w:jc w:val="both"/>
        <w:rPr>
          <w:rFonts w:eastAsia="Times New Roman" w:cstheme="minorHAnsi"/>
          <w:color w:val="222222"/>
          <w:lang w:eastAsia="fr-FR"/>
        </w:rPr>
      </w:pPr>
      <w:r>
        <w:rPr>
          <w:rFonts w:eastAsia="Times New Roman" w:cstheme="minorHAnsi"/>
          <w:color w:val="222222"/>
          <w:lang w:eastAsia="fr-FR"/>
        </w:rPr>
        <w:t xml:space="preserve">Le dernier paragraphe </w:t>
      </w:r>
      <w:r w:rsidR="00F45B24" w:rsidRPr="000153D4">
        <w:rPr>
          <w:rFonts w:eastAsia="Times New Roman" w:cstheme="minorHAnsi"/>
          <w:color w:val="222222"/>
          <w:lang w:eastAsia="fr-FR"/>
        </w:rPr>
        <w:t xml:space="preserve">est d’une clarté biblique : en cas d’inéligibilité, et sur saisine du ministre, le Conseil Constitutionnel statue uniquement sur la </w:t>
      </w:r>
      <w:r w:rsidR="00F45B24" w:rsidRPr="000153D4">
        <w:rPr>
          <w:rFonts w:eastAsia="Times New Roman" w:cstheme="minorHAnsi"/>
          <w:color w:val="222222"/>
          <w:highlight w:val="yellow"/>
          <w:lang w:eastAsia="fr-FR"/>
        </w:rPr>
        <w:t>recevabilité de la candidature</w:t>
      </w:r>
      <w:r w:rsidR="00F45B24" w:rsidRPr="000153D4">
        <w:rPr>
          <w:rFonts w:eastAsia="Times New Roman" w:cstheme="minorHAnsi"/>
          <w:color w:val="222222"/>
          <w:lang w:eastAsia="fr-FR"/>
        </w:rPr>
        <w:t xml:space="preserve"> et jamais sur la recevabilité de la liste.</w:t>
      </w:r>
    </w:p>
    <w:p w:rsidR="00FA0DF2" w:rsidRPr="000153D4" w:rsidRDefault="00721AA5" w:rsidP="008C0A6A">
      <w:pPr>
        <w:jc w:val="both"/>
        <w:rPr>
          <w:rFonts w:eastAsia="Times New Roman" w:cstheme="minorHAnsi"/>
          <w:color w:val="222222"/>
          <w:lang w:eastAsia="fr-FR"/>
        </w:rPr>
      </w:pPr>
      <w:r w:rsidRPr="000153D4">
        <w:rPr>
          <w:rFonts w:eastAsia="Times New Roman" w:cstheme="minorHAnsi"/>
          <w:color w:val="222222"/>
          <w:lang w:eastAsia="fr-FR"/>
        </w:rPr>
        <w:t>Ni</w:t>
      </w:r>
      <w:r w:rsidR="00FA0DF2" w:rsidRPr="000153D4">
        <w:rPr>
          <w:rFonts w:eastAsia="Times New Roman" w:cstheme="minorHAnsi"/>
          <w:color w:val="222222"/>
          <w:lang w:eastAsia="fr-FR"/>
        </w:rPr>
        <w:t xml:space="preserve"> la double inscription sur une liste</w:t>
      </w:r>
      <w:r w:rsidR="0025658E" w:rsidRPr="000153D4">
        <w:rPr>
          <w:rFonts w:eastAsia="Times New Roman" w:cstheme="minorHAnsi"/>
          <w:color w:val="222222"/>
          <w:lang w:eastAsia="fr-FR"/>
        </w:rPr>
        <w:t xml:space="preserve"> en qualité de titulaire et suppléant</w:t>
      </w:r>
      <w:r w:rsidR="00FA0DF2" w:rsidRPr="000153D4">
        <w:rPr>
          <w:rFonts w:eastAsia="Times New Roman" w:cstheme="minorHAnsi"/>
          <w:color w:val="222222"/>
          <w:lang w:eastAsia="fr-FR"/>
        </w:rPr>
        <w:t>, ni l’inéligibilité</w:t>
      </w:r>
      <w:r w:rsidR="0025658E" w:rsidRPr="000153D4">
        <w:rPr>
          <w:rFonts w:eastAsia="Times New Roman" w:cstheme="minorHAnsi"/>
          <w:color w:val="222222"/>
          <w:lang w:eastAsia="fr-FR"/>
        </w:rPr>
        <w:t xml:space="preserve"> d’un candidat</w:t>
      </w:r>
      <w:r w:rsidRPr="000153D4">
        <w:rPr>
          <w:rFonts w:eastAsia="Times New Roman" w:cstheme="minorHAnsi"/>
          <w:color w:val="222222"/>
          <w:lang w:eastAsia="fr-FR"/>
        </w:rPr>
        <w:t xml:space="preserve"> (qui doit être</w:t>
      </w:r>
      <w:r w:rsidR="00FA0DF2" w:rsidRPr="000153D4">
        <w:rPr>
          <w:rFonts w:eastAsia="Times New Roman" w:cstheme="minorHAnsi"/>
          <w:color w:val="222222"/>
          <w:lang w:eastAsia="fr-FR"/>
        </w:rPr>
        <w:t xml:space="preserve"> no</w:t>
      </w:r>
      <w:r w:rsidR="0025658E" w:rsidRPr="000153D4">
        <w:rPr>
          <w:rFonts w:eastAsia="Times New Roman" w:cstheme="minorHAnsi"/>
          <w:color w:val="222222"/>
          <w:lang w:eastAsia="fr-FR"/>
        </w:rPr>
        <w:t xml:space="preserve">tifiée au mandataire) ne peuvent entrainer l’irrecevabilité </w:t>
      </w:r>
      <w:r w:rsidR="00FA0DF2" w:rsidRPr="000153D4">
        <w:rPr>
          <w:rFonts w:eastAsia="Times New Roman" w:cstheme="minorHAnsi"/>
          <w:color w:val="222222"/>
          <w:lang w:eastAsia="fr-FR"/>
        </w:rPr>
        <w:t>d’une liste de candidature</w:t>
      </w:r>
      <w:r w:rsidR="003474D5" w:rsidRPr="000153D4">
        <w:rPr>
          <w:rFonts w:eastAsia="Times New Roman" w:cstheme="minorHAnsi"/>
          <w:color w:val="222222"/>
          <w:lang w:eastAsia="fr-FR"/>
        </w:rPr>
        <w:t xml:space="preserve"> au motif qu’elle serait </w:t>
      </w:r>
      <w:r w:rsidR="00937779">
        <w:rPr>
          <w:rFonts w:eastAsia="Times New Roman" w:cstheme="minorHAnsi"/>
          <w:color w:val="222222"/>
          <w:lang w:eastAsia="fr-FR"/>
        </w:rPr>
        <w:t>in</w:t>
      </w:r>
      <w:r w:rsidR="003474D5" w:rsidRPr="000153D4">
        <w:rPr>
          <w:rFonts w:eastAsia="Times New Roman" w:cstheme="minorHAnsi"/>
          <w:color w:val="222222"/>
          <w:lang w:eastAsia="fr-FR"/>
        </w:rPr>
        <w:t>complète</w:t>
      </w:r>
      <w:r w:rsidR="00FA0DF2" w:rsidRPr="000153D4">
        <w:rPr>
          <w:rFonts w:eastAsia="Times New Roman" w:cstheme="minorHAnsi"/>
          <w:color w:val="222222"/>
          <w:lang w:eastAsia="fr-FR"/>
        </w:rPr>
        <w:t>.</w:t>
      </w:r>
    </w:p>
    <w:p w:rsidR="00645D6B" w:rsidRPr="000153D4" w:rsidRDefault="00645D6B" w:rsidP="00645D6B">
      <w:pPr>
        <w:jc w:val="both"/>
        <w:rPr>
          <w:rFonts w:eastAsia="Times New Roman" w:cstheme="minorHAnsi"/>
          <w:color w:val="222222"/>
          <w:lang w:eastAsia="fr-FR"/>
        </w:rPr>
      </w:pPr>
      <w:r w:rsidRPr="007A2568">
        <w:rPr>
          <w:rFonts w:eastAsia="Times New Roman" w:cstheme="minorHAnsi"/>
          <w:color w:val="222222"/>
          <w:lang w:eastAsia="fr-FR"/>
        </w:rPr>
        <w:t>L’Alinéa 2 de l’article 179 du code électoral et l’Article LO.182 visent uniquement la recevabilité de la candidature concernée. L’impact est</w:t>
      </w:r>
      <w:r w:rsidR="008C0A6A" w:rsidRPr="007A2568">
        <w:rPr>
          <w:rFonts w:eastAsia="Times New Roman" w:cstheme="minorHAnsi"/>
          <w:color w:val="222222"/>
          <w:lang w:eastAsia="fr-FR"/>
        </w:rPr>
        <w:t xml:space="preserve"> strictement</w:t>
      </w:r>
      <w:r w:rsidRPr="007A2568">
        <w:rPr>
          <w:rFonts w:eastAsia="Times New Roman" w:cstheme="minorHAnsi"/>
          <w:color w:val="222222"/>
          <w:lang w:eastAsia="fr-FR"/>
        </w:rPr>
        <w:t xml:space="preserve"> limité à la candidatur</w:t>
      </w:r>
      <w:r w:rsidR="00783202" w:rsidRPr="007A2568">
        <w:rPr>
          <w:rFonts w:eastAsia="Times New Roman" w:cstheme="minorHAnsi"/>
          <w:color w:val="222222"/>
          <w:lang w:eastAsia="fr-FR"/>
        </w:rPr>
        <w:t>e du candidat, mais ne porte jamais sur</w:t>
      </w:r>
      <w:r w:rsidRPr="007A2568">
        <w:rPr>
          <w:rFonts w:eastAsia="Times New Roman" w:cstheme="minorHAnsi"/>
          <w:color w:val="222222"/>
          <w:lang w:eastAsia="fr-FR"/>
        </w:rPr>
        <w:t xml:space="preserve"> la liste.</w:t>
      </w:r>
      <w:bookmarkStart w:id="0" w:name="_GoBack"/>
      <w:bookmarkEnd w:id="0"/>
    </w:p>
    <w:p w:rsidR="000153D4" w:rsidRPr="000153D4" w:rsidRDefault="00ED78E9" w:rsidP="000153D4">
      <w:pPr>
        <w:shd w:val="clear" w:color="auto" w:fill="FFFFFF"/>
        <w:spacing w:before="100" w:beforeAutospacing="1" w:after="100" w:afterAutospacing="1" w:line="240" w:lineRule="auto"/>
        <w:jc w:val="both"/>
        <w:rPr>
          <w:rFonts w:cstheme="minorHAnsi"/>
        </w:rPr>
      </w:pPr>
      <w:r w:rsidRPr="000153D4">
        <w:rPr>
          <w:rFonts w:cstheme="minorHAnsi"/>
        </w:rPr>
        <w:t>Dans ses décisions n°</w:t>
      </w:r>
      <w:r w:rsidR="00CC1927" w:rsidRPr="000153D4">
        <w:rPr>
          <w:rFonts w:cstheme="minorHAnsi"/>
        </w:rPr>
        <w:t xml:space="preserve"> 4/E, 5/E et 6 E</w:t>
      </w:r>
      <w:r w:rsidR="00AD1253" w:rsidRPr="000153D4">
        <w:rPr>
          <w:rFonts w:cstheme="minorHAnsi"/>
        </w:rPr>
        <w:t xml:space="preserve"> du 15 avril 2018</w:t>
      </w:r>
      <w:r w:rsidR="00CC1927" w:rsidRPr="000153D4">
        <w:rPr>
          <w:rFonts w:cstheme="minorHAnsi"/>
        </w:rPr>
        <w:t>, le Conseil Constitutionnel saisi sur l’iné</w:t>
      </w:r>
      <w:r w:rsidR="003C2C0D" w:rsidRPr="000153D4">
        <w:rPr>
          <w:rFonts w:cstheme="minorHAnsi"/>
        </w:rPr>
        <w:t>li</w:t>
      </w:r>
      <w:r w:rsidR="00CC1927" w:rsidRPr="000153D4">
        <w:rPr>
          <w:rFonts w:cstheme="minorHAnsi"/>
        </w:rPr>
        <w:t>gibilité de 2 candidats du Rassemblement national démocratique, 2 candidats du Parti de l’indépendance et du travail et 17 candidats du Mouvement Républicain sénégalais a déclaré les 21 candidatures irrecevables.</w:t>
      </w:r>
      <w:r w:rsidR="002E64A9" w:rsidRPr="000153D4">
        <w:rPr>
          <w:rFonts w:cstheme="minorHAnsi"/>
        </w:rPr>
        <w:t xml:space="preserve"> </w:t>
      </w:r>
      <w:r w:rsidR="000153D4" w:rsidRPr="000153D4">
        <w:rPr>
          <w:rFonts w:cstheme="minorHAnsi"/>
        </w:rPr>
        <w:t xml:space="preserve">Les listes de candidature des partis concernés n’ont jamais été déclarées irrecevables. </w:t>
      </w:r>
      <w:r w:rsidR="000153D4" w:rsidRPr="000153D4">
        <w:rPr>
          <w:rFonts w:cstheme="minorHAnsi"/>
          <w:highlight w:val="yellow"/>
        </w:rPr>
        <w:t>Et pour cause : le Conseil Constitutionnel se prononce exclusivement sur la recevabilité de la candidature</w:t>
      </w:r>
      <w:r w:rsidR="000153D4">
        <w:rPr>
          <w:rFonts w:cstheme="minorHAnsi"/>
        </w:rPr>
        <w:t>.</w:t>
      </w:r>
    </w:p>
    <w:p w:rsidR="00CC1927" w:rsidRDefault="002E64A9" w:rsidP="00F43B42">
      <w:pPr>
        <w:shd w:val="clear" w:color="auto" w:fill="FFFFFF"/>
        <w:spacing w:before="100" w:beforeAutospacing="1" w:after="100" w:afterAutospacing="1" w:line="240" w:lineRule="auto"/>
        <w:jc w:val="both"/>
        <w:rPr>
          <w:rFonts w:cstheme="minorHAnsi"/>
          <w:b/>
          <w:sz w:val="28"/>
          <w:szCs w:val="28"/>
          <w:u w:val="single"/>
        </w:rPr>
      </w:pPr>
      <w:r w:rsidRPr="00ED78E9">
        <w:rPr>
          <w:rFonts w:cstheme="minorHAnsi"/>
          <w:b/>
          <w:sz w:val="28"/>
          <w:szCs w:val="28"/>
          <w:u w:val="single"/>
        </w:rPr>
        <w:t xml:space="preserve">Conclusion : </w:t>
      </w:r>
    </w:p>
    <w:p w:rsidR="004E2E00" w:rsidRPr="000153D4" w:rsidRDefault="004E2E00" w:rsidP="008C0A6A">
      <w:pPr>
        <w:shd w:val="clear" w:color="auto" w:fill="FFFFFF"/>
        <w:spacing w:before="100" w:beforeAutospacing="1" w:after="100" w:afterAutospacing="1" w:line="240" w:lineRule="auto"/>
        <w:jc w:val="both"/>
        <w:rPr>
          <w:rFonts w:cstheme="minorHAnsi"/>
        </w:rPr>
      </w:pPr>
      <w:r w:rsidRPr="000153D4">
        <w:rPr>
          <w:rFonts w:cstheme="minorHAnsi"/>
        </w:rPr>
        <w:t>La décision d’Antoine DIOM tendant à déclarer la liste nationale de YEWWI ASKAN WI irrecevable (titulaires) est une grossière manœuvre de diversion vouée à l’échec, et une pirouette visant à déclarer à posteriori incomplète, une liste complète au moment du dépôt. Le Conseil Constitutionnel annulera la décision d’Antoine DIOM déclarant la liste nationale de Yewwi</w:t>
      </w:r>
      <w:r w:rsidR="00783202">
        <w:rPr>
          <w:rFonts w:cstheme="minorHAnsi"/>
        </w:rPr>
        <w:t xml:space="preserve"> (titulaires)</w:t>
      </w:r>
      <w:r w:rsidRPr="000153D4">
        <w:rPr>
          <w:rFonts w:cstheme="minorHAnsi"/>
        </w:rPr>
        <w:t xml:space="preserve"> irrecevable car elle ne repose sur aucun fondement juridique.</w:t>
      </w:r>
    </w:p>
    <w:p w:rsidR="00870EAD" w:rsidRPr="000153D4" w:rsidRDefault="008C0A6A" w:rsidP="00870EAD">
      <w:pPr>
        <w:shd w:val="clear" w:color="auto" w:fill="FFFFFF"/>
        <w:spacing w:before="100" w:beforeAutospacing="1" w:after="100" w:afterAutospacing="1" w:line="240" w:lineRule="auto"/>
        <w:jc w:val="both"/>
        <w:rPr>
          <w:rFonts w:cstheme="minorHAnsi"/>
        </w:rPr>
      </w:pPr>
      <w:r w:rsidRPr="008C0A6A">
        <w:rPr>
          <w:rFonts w:cstheme="minorHAnsi"/>
        </w:rPr>
        <w:t>Dans sa décision n°1/E/2022 du 21 mai 2021, le Conseil Constitutionnel a déclaré irrecevable, les recours de YEWWI et de la coalition GUEM SA BOPP, au motif que selon les dispositions de l’article LO.184 de la loi n°2021‐35 du 23 juillet 2021 « seuls les actes du Ministre chargé des élections pris en application des articles L179, L180 et LO.183, peuvent être contestés par les mandataires ».</w:t>
      </w:r>
      <w:r w:rsidR="004E2E00" w:rsidRPr="000153D4">
        <w:rPr>
          <w:rFonts w:cstheme="minorHAnsi"/>
        </w:rPr>
        <w:t xml:space="preserve"> </w:t>
      </w:r>
      <w:r w:rsidR="004E2E00" w:rsidRPr="008C0A6A">
        <w:rPr>
          <w:rFonts w:cstheme="minorHAnsi"/>
        </w:rPr>
        <w:t xml:space="preserve">Cette décision signifie tout simplement que le </w:t>
      </w:r>
      <w:r w:rsidR="009F0DB6">
        <w:rPr>
          <w:rFonts w:cstheme="minorHAnsi"/>
        </w:rPr>
        <w:t xml:space="preserve">Conseil Constitutionnel n’a pas </w:t>
      </w:r>
      <w:r w:rsidR="004E2E00" w:rsidRPr="008C0A6A">
        <w:rPr>
          <w:rFonts w:cstheme="minorHAnsi"/>
        </w:rPr>
        <w:t>statué sur les requêtes des 2 coalitions précitées du fait que leurs recours ne visaient pas expressément un acte pris par le ministre, en application des articles précités</w:t>
      </w:r>
      <w:r w:rsidR="004E2E00" w:rsidRPr="000153D4">
        <w:rPr>
          <w:rFonts w:cstheme="minorHAnsi"/>
        </w:rPr>
        <w:t>.</w:t>
      </w:r>
      <w:r w:rsidR="00870EAD" w:rsidRPr="00870EAD">
        <w:rPr>
          <w:rFonts w:cstheme="minorHAnsi"/>
        </w:rPr>
        <w:t xml:space="preserve"> </w:t>
      </w:r>
      <w:r w:rsidR="00870EAD" w:rsidRPr="000153D4">
        <w:rPr>
          <w:rFonts w:cstheme="minorHAnsi"/>
        </w:rPr>
        <w:t>Vu qu</w:t>
      </w:r>
      <w:r w:rsidR="00870EAD" w:rsidRPr="008C0A6A">
        <w:rPr>
          <w:rFonts w:cstheme="minorHAnsi"/>
        </w:rPr>
        <w:t xml:space="preserve">e </w:t>
      </w:r>
      <w:r w:rsidR="00870EAD" w:rsidRPr="000153D4">
        <w:rPr>
          <w:rFonts w:cstheme="minorHAnsi"/>
        </w:rPr>
        <w:t xml:space="preserve">le </w:t>
      </w:r>
      <w:r w:rsidR="00870EAD" w:rsidRPr="008C0A6A">
        <w:rPr>
          <w:rFonts w:cstheme="minorHAnsi"/>
        </w:rPr>
        <w:t xml:space="preserve">Ministre chargé des élections </w:t>
      </w:r>
      <w:r w:rsidR="00870EAD">
        <w:rPr>
          <w:rFonts w:cstheme="minorHAnsi"/>
        </w:rPr>
        <w:t xml:space="preserve">a arrêté </w:t>
      </w:r>
      <w:r w:rsidR="00870EAD" w:rsidRPr="000153D4">
        <w:rPr>
          <w:rFonts w:cstheme="minorHAnsi"/>
        </w:rPr>
        <w:t xml:space="preserve">le 30 mai 2022, les listes </w:t>
      </w:r>
      <w:r w:rsidR="00870EAD" w:rsidRPr="008C0A6A">
        <w:rPr>
          <w:rFonts w:cstheme="minorHAnsi"/>
        </w:rPr>
        <w:t xml:space="preserve">reçues, conformément à l’article L.183 du code électoral, le mandataire de Yewwi pourra introduire une requête tendant à faire déclarer irrecevable la liste de la coalition </w:t>
      </w:r>
      <w:r w:rsidR="00870EAD" w:rsidRPr="000153D4">
        <w:rPr>
          <w:rFonts w:cstheme="minorHAnsi"/>
        </w:rPr>
        <w:t>Benno pour</w:t>
      </w:r>
      <w:r w:rsidR="00870EAD" w:rsidRPr="008C0A6A">
        <w:rPr>
          <w:rFonts w:cstheme="minorHAnsi"/>
        </w:rPr>
        <w:t xml:space="preserve"> d’une part, « dépassement d’un nombre de parrains supérieur au maximum légal requis</w:t>
      </w:r>
      <w:r w:rsidR="00870EAD" w:rsidRPr="000153D4">
        <w:rPr>
          <w:rFonts w:cstheme="minorHAnsi"/>
        </w:rPr>
        <w:t> » ; et d’autre part,</w:t>
      </w:r>
      <w:r w:rsidR="00870EAD" w:rsidRPr="008C0A6A">
        <w:rPr>
          <w:rFonts w:cstheme="minorHAnsi"/>
        </w:rPr>
        <w:t xml:space="preserve"> « violation du principe de parité au niveau de sa liste nationale »</w:t>
      </w:r>
      <w:r w:rsidR="00870EAD" w:rsidRPr="000153D4">
        <w:rPr>
          <w:rFonts w:cstheme="minorHAnsi"/>
        </w:rPr>
        <w:t>. La liste nationale de la coalition BENNO est frappée d’une</w:t>
      </w:r>
      <w:r w:rsidR="00870EAD" w:rsidRPr="008C0A6A">
        <w:rPr>
          <w:rFonts w:cstheme="minorHAnsi"/>
        </w:rPr>
        <w:t xml:space="preserve"> </w:t>
      </w:r>
      <w:r w:rsidR="00870EAD" w:rsidRPr="008C0A6A">
        <w:rPr>
          <w:rFonts w:cstheme="minorHAnsi"/>
          <w:highlight w:val="yellow"/>
        </w:rPr>
        <w:t>Double irrecevabilité</w:t>
      </w:r>
      <w:r w:rsidR="00870EAD" w:rsidRPr="000153D4">
        <w:rPr>
          <w:rFonts w:cstheme="minorHAnsi"/>
          <w:highlight w:val="yellow"/>
        </w:rPr>
        <w:t>, insusceptible de régularisation.</w:t>
      </w:r>
    </w:p>
    <w:p w:rsidR="004E2E00" w:rsidRPr="000153D4" w:rsidRDefault="00870EAD" w:rsidP="008C0A6A">
      <w:pPr>
        <w:shd w:val="clear" w:color="auto" w:fill="FFFFFF"/>
        <w:spacing w:before="100" w:beforeAutospacing="1" w:after="100" w:afterAutospacing="1" w:line="240" w:lineRule="auto"/>
        <w:jc w:val="both"/>
        <w:rPr>
          <w:rFonts w:cstheme="minorHAnsi"/>
        </w:rPr>
      </w:pPr>
      <w:r>
        <w:rPr>
          <w:rFonts w:cstheme="minorHAnsi"/>
        </w:rPr>
        <w:t xml:space="preserve">Le ridicule ne tue plus lorsque BENNO </w:t>
      </w:r>
      <w:r w:rsidR="00240BDA">
        <w:rPr>
          <w:rFonts w:cstheme="minorHAnsi"/>
        </w:rPr>
        <w:t xml:space="preserve">découpe sa liste en 2 (une liste de titulaires et une liste de suppléants). </w:t>
      </w:r>
      <w:r w:rsidR="00240BDA" w:rsidRPr="00CC3931">
        <w:rPr>
          <w:rFonts w:cstheme="minorHAnsi"/>
          <w:highlight w:val="cyan"/>
        </w:rPr>
        <w:t>Afin que nul n’en ignore, il y a 1 seule liste composée de titulaires et de suppléants.</w:t>
      </w:r>
    </w:p>
    <w:p w:rsidR="006C4F8B" w:rsidRPr="000153D4" w:rsidRDefault="004E2E00" w:rsidP="006C4F8B">
      <w:pPr>
        <w:shd w:val="clear" w:color="auto" w:fill="FFFFFF"/>
        <w:spacing w:before="100" w:beforeAutospacing="1" w:after="100" w:afterAutospacing="1" w:line="240" w:lineRule="auto"/>
        <w:jc w:val="both"/>
        <w:rPr>
          <w:rFonts w:cstheme="minorHAnsi"/>
        </w:rPr>
      </w:pPr>
      <w:r w:rsidRPr="000153D4">
        <w:rPr>
          <w:rFonts w:cstheme="minorHAnsi"/>
        </w:rPr>
        <w:t>Seybani SOUGOU – E –mail : sougouparis@yahoo.fr</w:t>
      </w:r>
    </w:p>
    <w:sectPr w:rsidR="006C4F8B" w:rsidRPr="000153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D4D" w:rsidRDefault="002E0D4D" w:rsidP="005D18D4">
      <w:pPr>
        <w:spacing w:after="0" w:line="240" w:lineRule="auto"/>
      </w:pPr>
      <w:r>
        <w:separator/>
      </w:r>
    </w:p>
  </w:endnote>
  <w:endnote w:type="continuationSeparator" w:id="0">
    <w:p w:rsidR="002E0D4D" w:rsidRDefault="002E0D4D" w:rsidP="005D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zidenz-grotes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78031"/>
      <w:docPartObj>
        <w:docPartGallery w:val="Page Numbers (Bottom of Page)"/>
        <w:docPartUnique/>
      </w:docPartObj>
    </w:sdtPr>
    <w:sdtEndPr/>
    <w:sdtContent>
      <w:p w:rsidR="005D18D4" w:rsidRDefault="005D18D4">
        <w:pPr>
          <w:pStyle w:val="Pieddepage"/>
          <w:jc w:val="right"/>
        </w:pPr>
        <w:r>
          <w:fldChar w:fldCharType="begin"/>
        </w:r>
        <w:r>
          <w:instrText>PAGE   \* MERGEFORMAT</w:instrText>
        </w:r>
        <w:r>
          <w:fldChar w:fldCharType="separate"/>
        </w:r>
        <w:r w:rsidR="002E0D4D">
          <w:rPr>
            <w:noProof/>
          </w:rPr>
          <w:t>1</w:t>
        </w:r>
        <w:r>
          <w:fldChar w:fldCharType="end"/>
        </w:r>
      </w:p>
    </w:sdtContent>
  </w:sdt>
  <w:p w:rsidR="005D18D4" w:rsidRDefault="005D18D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D4D" w:rsidRDefault="002E0D4D" w:rsidP="005D18D4">
      <w:pPr>
        <w:spacing w:after="0" w:line="240" w:lineRule="auto"/>
      </w:pPr>
      <w:r>
        <w:separator/>
      </w:r>
    </w:p>
  </w:footnote>
  <w:footnote w:type="continuationSeparator" w:id="0">
    <w:p w:rsidR="002E0D4D" w:rsidRDefault="002E0D4D" w:rsidP="005D1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13489"/>
    <w:multiLevelType w:val="hybridMultilevel"/>
    <w:tmpl w:val="4F0C14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FD"/>
    <w:rsid w:val="00014427"/>
    <w:rsid w:val="000153D4"/>
    <w:rsid w:val="00034960"/>
    <w:rsid w:val="00041061"/>
    <w:rsid w:val="000446D0"/>
    <w:rsid w:val="000C5781"/>
    <w:rsid w:val="000C7482"/>
    <w:rsid w:val="0012694F"/>
    <w:rsid w:val="001444A2"/>
    <w:rsid w:val="001620CB"/>
    <w:rsid w:val="00164FAA"/>
    <w:rsid w:val="00175E48"/>
    <w:rsid w:val="00192D49"/>
    <w:rsid w:val="00195E3D"/>
    <w:rsid w:val="001B4879"/>
    <w:rsid w:val="001F073E"/>
    <w:rsid w:val="0020573A"/>
    <w:rsid w:val="00216C68"/>
    <w:rsid w:val="002218AC"/>
    <w:rsid w:val="00240BDA"/>
    <w:rsid w:val="0024238E"/>
    <w:rsid w:val="0025658E"/>
    <w:rsid w:val="00266C3A"/>
    <w:rsid w:val="0027610A"/>
    <w:rsid w:val="002A3E65"/>
    <w:rsid w:val="002E0D4D"/>
    <w:rsid w:val="002E64A9"/>
    <w:rsid w:val="003114C8"/>
    <w:rsid w:val="00312779"/>
    <w:rsid w:val="00331E40"/>
    <w:rsid w:val="003453C3"/>
    <w:rsid w:val="003474D5"/>
    <w:rsid w:val="0036235A"/>
    <w:rsid w:val="003752D8"/>
    <w:rsid w:val="00377916"/>
    <w:rsid w:val="003820C4"/>
    <w:rsid w:val="00385CC7"/>
    <w:rsid w:val="00394BD9"/>
    <w:rsid w:val="003B1192"/>
    <w:rsid w:val="003B284B"/>
    <w:rsid w:val="003B54C5"/>
    <w:rsid w:val="003C2C0D"/>
    <w:rsid w:val="003C43B7"/>
    <w:rsid w:val="003D4AF6"/>
    <w:rsid w:val="003F5266"/>
    <w:rsid w:val="00403C90"/>
    <w:rsid w:val="00470D31"/>
    <w:rsid w:val="00480C4D"/>
    <w:rsid w:val="00486C3E"/>
    <w:rsid w:val="00493075"/>
    <w:rsid w:val="004C32EE"/>
    <w:rsid w:val="004D649F"/>
    <w:rsid w:val="004E2E00"/>
    <w:rsid w:val="004E59AB"/>
    <w:rsid w:val="005017C0"/>
    <w:rsid w:val="00524816"/>
    <w:rsid w:val="005677B2"/>
    <w:rsid w:val="005900BD"/>
    <w:rsid w:val="00596B31"/>
    <w:rsid w:val="005A06D9"/>
    <w:rsid w:val="005A2180"/>
    <w:rsid w:val="005C023B"/>
    <w:rsid w:val="005D18D4"/>
    <w:rsid w:val="005E19B3"/>
    <w:rsid w:val="00601116"/>
    <w:rsid w:val="00606744"/>
    <w:rsid w:val="0061683E"/>
    <w:rsid w:val="00645D6B"/>
    <w:rsid w:val="00654344"/>
    <w:rsid w:val="0068065A"/>
    <w:rsid w:val="00695533"/>
    <w:rsid w:val="0069571F"/>
    <w:rsid w:val="006C4F8B"/>
    <w:rsid w:val="006C5730"/>
    <w:rsid w:val="006D44AE"/>
    <w:rsid w:val="00707363"/>
    <w:rsid w:val="007112B3"/>
    <w:rsid w:val="00721AA5"/>
    <w:rsid w:val="00751C42"/>
    <w:rsid w:val="00753966"/>
    <w:rsid w:val="00755724"/>
    <w:rsid w:val="0077279B"/>
    <w:rsid w:val="00775A9D"/>
    <w:rsid w:val="00783202"/>
    <w:rsid w:val="0079419A"/>
    <w:rsid w:val="007A1754"/>
    <w:rsid w:val="007A2568"/>
    <w:rsid w:val="00826691"/>
    <w:rsid w:val="0083109C"/>
    <w:rsid w:val="00841C96"/>
    <w:rsid w:val="00861290"/>
    <w:rsid w:val="00870EAD"/>
    <w:rsid w:val="00875E8B"/>
    <w:rsid w:val="008911B3"/>
    <w:rsid w:val="008A06DF"/>
    <w:rsid w:val="008A4858"/>
    <w:rsid w:val="008C0A6A"/>
    <w:rsid w:val="008D7D6F"/>
    <w:rsid w:val="008F52E0"/>
    <w:rsid w:val="00914453"/>
    <w:rsid w:val="0093004A"/>
    <w:rsid w:val="00937779"/>
    <w:rsid w:val="009F0DB6"/>
    <w:rsid w:val="009F7BFD"/>
    <w:rsid w:val="00A02312"/>
    <w:rsid w:val="00A32046"/>
    <w:rsid w:val="00A5242D"/>
    <w:rsid w:val="00A66B9F"/>
    <w:rsid w:val="00A95CA0"/>
    <w:rsid w:val="00AA3E7D"/>
    <w:rsid w:val="00AA4B84"/>
    <w:rsid w:val="00AD1253"/>
    <w:rsid w:val="00AD454F"/>
    <w:rsid w:val="00B0357B"/>
    <w:rsid w:val="00B06969"/>
    <w:rsid w:val="00B15627"/>
    <w:rsid w:val="00B22E36"/>
    <w:rsid w:val="00B23E42"/>
    <w:rsid w:val="00B4703C"/>
    <w:rsid w:val="00B47D04"/>
    <w:rsid w:val="00B53B0A"/>
    <w:rsid w:val="00B801AA"/>
    <w:rsid w:val="00B94742"/>
    <w:rsid w:val="00BA644D"/>
    <w:rsid w:val="00BD4D9D"/>
    <w:rsid w:val="00C02DF0"/>
    <w:rsid w:val="00C13C38"/>
    <w:rsid w:val="00C16B29"/>
    <w:rsid w:val="00C2512F"/>
    <w:rsid w:val="00C25974"/>
    <w:rsid w:val="00C26C15"/>
    <w:rsid w:val="00C4097C"/>
    <w:rsid w:val="00C445B7"/>
    <w:rsid w:val="00C47B60"/>
    <w:rsid w:val="00C614A9"/>
    <w:rsid w:val="00C80D7E"/>
    <w:rsid w:val="00C85134"/>
    <w:rsid w:val="00C91028"/>
    <w:rsid w:val="00C964CD"/>
    <w:rsid w:val="00CA6674"/>
    <w:rsid w:val="00CC1927"/>
    <w:rsid w:val="00CC3931"/>
    <w:rsid w:val="00CE1492"/>
    <w:rsid w:val="00D1053D"/>
    <w:rsid w:val="00D32625"/>
    <w:rsid w:val="00D410B3"/>
    <w:rsid w:val="00D4197A"/>
    <w:rsid w:val="00D4517D"/>
    <w:rsid w:val="00D568B2"/>
    <w:rsid w:val="00D70F2A"/>
    <w:rsid w:val="00D77EA3"/>
    <w:rsid w:val="00D82545"/>
    <w:rsid w:val="00D90A81"/>
    <w:rsid w:val="00DC61B6"/>
    <w:rsid w:val="00DD2212"/>
    <w:rsid w:val="00DF5E5D"/>
    <w:rsid w:val="00E02853"/>
    <w:rsid w:val="00E12499"/>
    <w:rsid w:val="00E3572E"/>
    <w:rsid w:val="00E425B2"/>
    <w:rsid w:val="00E60763"/>
    <w:rsid w:val="00E74D5F"/>
    <w:rsid w:val="00E77037"/>
    <w:rsid w:val="00E83CE0"/>
    <w:rsid w:val="00EA303E"/>
    <w:rsid w:val="00EB227A"/>
    <w:rsid w:val="00EB6797"/>
    <w:rsid w:val="00EC2B89"/>
    <w:rsid w:val="00ED136A"/>
    <w:rsid w:val="00ED4407"/>
    <w:rsid w:val="00ED78E9"/>
    <w:rsid w:val="00EE411D"/>
    <w:rsid w:val="00F026D8"/>
    <w:rsid w:val="00F43B42"/>
    <w:rsid w:val="00F45B24"/>
    <w:rsid w:val="00F6335D"/>
    <w:rsid w:val="00F718CF"/>
    <w:rsid w:val="00F870C9"/>
    <w:rsid w:val="00FA0DF2"/>
    <w:rsid w:val="00FB3A38"/>
    <w:rsid w:val="00FB4C2D"/>
    <w:rsid w:val="00FD59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2D70"/>
  <w15:chartTrackingRefBased/>
  <w15:docId w15:val="{60D19BCE-6F13-4657-9D57-0BFF001D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BFD"/>
  </w:style>
  <w:style w:type="paragraph" w:styleId="Titre1">
    <w:name w:val="heading 1"/>
    <w:basedOn w:val="Normal"/>
    <w:next w:val="Normal"/>
    <w:link w:val="Titre1Car"/>
    <w:uiPriority w:val="9"/>
    <w:qFormat/>
    <w:rsid w:val="000C74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7482"/>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5D18D4"/>
    <w:pPr>
      <w:tabs>
        <w:tab w:val="center" w:pos="4536"/>
        <w:tab w:val="right" w:pos="9072"/>
      </w:tabs>
      <w:spacing w:after="0" w:line="240" w:lineRule="auto"/>
    </w:pPr>
  </w:style>
  <w:style w:type="character" w:customStyle="1" w:styleId="En-tteCar">
    <w:name w:val="En-tête Car"/>
    <w:basedOn w:val="Policepardfaut"/>
    <w:link w:val="En-tte"/>
    <w:uiPriority w:val="99"/>
    <w:rsid w:val="005D18D4"/>
  </w:style>
  <w:style w:type="paragraph" w:styleId="Pieddepage">
    <w:name w:val="footer"/>
    <w:basedOn w:val="Normal"/>
    <w:link w:val="PieddepageCar"/>
    <w:uiPriority w:val="99"/>
    <w:unhideWhenUsed/>
    <w:rsid w:val="005D18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18D4"/>
  </w:style>
  <w:style w:type="character" w:styleId="Lienhypertexte">
    <w:name w:val="Hyperlink"/>
    <w:basedOn w:val="Policepardfaut"/>
    <w:uiPriority w:val="99"/>
    <w:unhideWhenUsed/>
    <w:rsid w:val="006C4F8B"/>
    <w:rPr>
      <w:color w:val="0563C1" w:themeColor="hyperlink"/>
      <w:u w:val="single"/>
    </w:rPr>
  </w:style>
  <w:style w:type="paragraph" w:styleId="Paragraphedeliste">
    <w:name w:val="List Paragraph"/>
    <w:basedOn w:val="Normal"/>
    <w:uiPriority w:val="34"/>
    <w:qFormat/>
    <w:rsid w:val="00B06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0439">
      <w:bodyDiv w:val="1"/>
      <w:marLeft w:val="0"/>
      <w:marRight w:val="0"/>
      <w:marTop w:val="0"/>
      <w:marBottom w:val="0"/>
      <w:divBdr>
        <w:top w:val="none" w:sz="0" w:space="0" w:color="auto"/>
        <w:left w:val="none" w:sz="0" w:space="0" w:color="auto"/>
        <w:bottom w:val="none" w:sz="0" w:space="0" w:color="auto"/>
        <w:right w:val="none" w:sz="0" w:space="0" w:color="auto"/>
      </w:divBdr>
    </w:div>
    <w:div w:id="106326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1144</Words>
  <Characters>6298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MOI</cp:lastModifiedBy>
  <cp:revision>180</cp:revision>
  <dcterms:created xsi:type="dcterms:W3CDTF">2022-05-30T19:45:00Z</dcterms:created>
  <dcterms:modified xsi:type="dcterms:W3CDTF">2022-05-30T23:36:00Z</dcterms:modified>
</cp:coreProperties>
</file>